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sz w:val="28"/>
          <w:szCs w:val="28"/>
        </w:rPr>
        <w:alias w:val="Title"/>
        <w:tag w:val=""/>
        <w:id w:val="-887490816"/>
        <w:placeholder>
          <w:docPart w:val="42085621834B7D43979B74154BC49213"/>
        </w:placeholder>
        <w:dataBinding w:prefixMappings="xmlns:ns0='http://purl.org/dc/elements/1.1/' xmlns:ns1='http://schemas.openxmlformats.org/package/2006/metadata/core-properties' " w:xpath="/ns1:coreProperties[1]/ns0:title[1]" w:storeItemID="{6C3C8BC8-F283-45AE-878A-BAB7291924A1}"/>
        <w:text/>
      </w:sdtPr>
      <w:sdtContent>
        <w:p w14:paraId="4F8837DC" w14:textId="5038B064" w:rsidR="0024649C" w:rsidRPr="00370DA4" w:rsidRDefault="00EB3F8E" w:rsidP="00BC2368">
          <w:pPr>
            <w:pStyle w:val="Title"/>
            <w:spacing w:after="0"/>
            <w:jc w:val="center"/>
            <w:rPr>
              <w:b/>
              <w:bCs/>
              <w:sz w:val="28"/>
              <w:szCs w:val="28"/>
            </w:rPr>
          </w:pPr>
          <w:r w:rsidRPr="00370DA4">
            <w:rPr>
              <w:b/>
              <w:bCs/>
              <w:sz w:val="28"/>
              <w:szCs w:val="28"/>
            </w:rPr>
            <w:t>Transparency in Asset Recovery</w:t>
          </w:r>
        </w:p>
      </w:sdtContent>
    </w:sdt>
    <w:p w14:paraId="072F4047" w14:textId="77777777" w:rsidR="00BC2368" w:rsidRPr="00313E88" w:rsidRDefault="00BC2368" w:rsidP="00BC2368">
      <w:pPr>
        <w:pStyle w:val="Subtitle"/>
        <w:spacing w:before="0" w:after="0"/>
        <w:jc w:val="center"/>
        <w:rPr>
          <w:rFonts w:ascii="Aptos" w:hAnsi="Aptos"/>
          <w:lang w:val="en-US"/>
        </w:rPr>
      </w:pPr>
    </w:p>
    <w:p w14:paraId="29D5EC5B" w14:textId="54E778E8" w:rsidR="00BC2368" w:rsidRPr="00370DA4" w:rsidRDefault="00BC2368" w:rsidP="00041907">
      <w:pPr>
        <w:pStyle w:val="Subtitle"/>
        <w:spacing w:before="0" w:after="0"/>
        <w:jc w:val="center"/>
        <w:rPr>
          <w:lang w:val="en-US"/>
        </w:rPr>
      </w:pPr>
      <w:r w:rsidRPr="00370DA4">
        <w:rPr>
          <w:lang w:val="en-US"/>
        </w:rPr>
        <w:t xml:space="preserve">Submission by the </w:t>
      </w:r>
      <w:r w:rsidR="00067601" w:rsidRPr="00370DA4">
        <w:rPr>
          <w:lang w:val="en-US"/>
        </w:rPr>
        <w:t xml:space="preserve">Global Civil Society </w:t>
      </w:r>
      <w:r w:rsidRPr="00370DA4">
        <w:rPr>
          <w:lang w:val="en-US"/>
        </w:rPr>
        <w:t>Coalition</w:t>
      </w:r>
      <w:r w:rsidR="00067601" w:rsidRPr="00370DA4">
        <w:rPr>
          <w:lang w:val="en-US"/>
        </w:rPr>
        <w:t xml:space="preserve"> for the UNCAC</w:t>
      </w:r>
      <w:r w:rsidRPr="00370DA4">
        <w:rPr>
          <w:lang w:val="en-US"/>
        </w:rPr>
        <w:t xml:space="preserve">’s Working Group on </w:t>
      </w:r>
      <w:r w:rsidR="00EB3F8E" w:rsidRPr="00370DA4">
        <w:rPr>
          <w:lang w:val="en-US"/>
        </w:rPr>
        <w:t>Asset Recovery</w:t>
      </w:r>
      <w:r w:rsidRPr="00370DA4">
        <w:rPr>
          <w:vertAlign w:val="superscript"/>
          <w:lang w:val="en-US"/>
        </w:rPr>
        <w:footnoteReference w:id="1"/>
      </w:r>
    </w:p>
    <w:p w14:paraId="39A302F8" w14:textId="77777777" w:rsidR="00041907" w:rsidRPr="00313E88" w:rsidRDefault="00041907" w:rsidP="00041907">
      <w:pPr>
        <w:spacing w:after="0"/>
        <w:rPr>
          <w:rFonts w:ascii="Aptos" w:hAnsi="Aptos"/>
          <w:lang w:val="en-US"/>
        </w:rPr>
      </w:pPr>
    </w:p>
    <w:p w14:paraId="37D3C9C4" w14:textId="0454750B" w:rsidR="008D52FF" w:rsidRPr="00370DA4" w:rsidRDefault="00EB3F8E" w:rsidP="00BC2368">
      <w:pPr>
        <w:pStyle w:val="Subtitle"/>
        <w:spacing w:before="0" w:after="0"/>
        <w:jc w:val="center"/>
        <w:rPr>
          <w:b/>
          <w:bCs/>
          <w:sz w:val="26"/>
          <w:szCs w:val="26"/>
        </w:rPr>
      </w:pPr>
      <w:r w:rsidRPr="00370DA4">
        <w:rPr>
          <w:b/>
          <w:bCs/>
          <w:sz w:val="26"/>
          <w:szCs w:val="26"/>
        </w:rPr>
        <w:t>20</w:t>
      </w:r>
      <w:r w:rsidR="008D52FF" w:rsidRPr="00370DA4">
        <w:rPr>
          <w:b/>
          <w:bCs/>
          <w:sz w:val="26"/>
          <w:szCs w:val="26"/>
        </w:rPr>
        <w:t xml:space="preserve"> </w:t>
      </w:r>
      <w:r w:rsidR="0064600C" w:rsidRPr="00370DA4">
        <w:rPr>
          <w:b/>
          <w:bCs/>
          <w:sz w:val="26"/>
          <w:szCs w:val="26"/>
        </w:rPr>
        <w:t>Nov</w:t>
      </w:r>
      <w:r w:rsidR="008D52FF" w:rsidRPr="00370DA4">
        <w:rPr>
          <w:b/>
          <w:bCs/>
          <w:sz w:val="26"/>
          <w:szCs w:val="26"/>
        </w:rPr>
        <w:t>ember 2025</w:t>
      </w:r>
    </w:p>
    <w:p w14:paraId="1E45AC67" w14:textId="77777777" w:rsidR="00BC2368" w:rsidRPr="00313E88" w:rsidRDefault="00BC2368" w:rsidP="00BC2368">
      <w:pPr>
        <w:spacing w:after="0"/>
        <w:rPr>
          <w:rFonts w:ascii="Aptos" w:hAnsi="Aptos"/>
        </w:rPr>
      </w:pPr>
    </w:p>
    <w:p w14:paraId="18272AD7" w14:textId="26256714" w:rsidR="00C66984"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t>Transparency is vital in the recovery and return of assets stolen through corruption. Proactive disclosure of data and documents is a key pillar of public accountability. This includes the publication of amounts frozen, confiscated, and returned, as well as case information, legal frameworks, and return agreements.</w:t>
      </w:r>
    </w:p>
    <w:p w14:paraId="31A34A48" w14:textId="29268165" w:rsidR="00C66984" w:rsidRPr="00370DA4" w:rsidRDefault="00DB4EE8" w:rsidP="00C66984">
      <w:pPr>
        <w:spacing w:before="240" w:after="0"/>
        <w:jc w:val="both"/>
        <w:rPr>
          <w:rFonts w:eastAsia="Inter" w:cs="Inter"/>
          <w:sz w:val="24"/>
          <w:szCs w:val="24"/>
          <w:lang w:val="en-US"/>
        </w:rPr>
      </w:pPr>
      <w:r w:rsidRPr="00370DA4">
        <w:rPr>
          <w:rFonts w:eastAsia="Inter" w:cs="Inter"/>
          <w:sz w:val="24"/>
          <w:szCs w:val="24"/>
          <w:lang w:val="en-US"/>
        </w:rPr>
        <w:t>However</w:t>
      </w:r>
      <w:r w:rsidR="00C66984" w:rsidRPr="00370DA4">
        <w:rPr>
          <w:rFonts w:eastAsia="Inter" w:cs="Inter"/>
          <w:sz w:val="24"/>
          <w:szCs w:val="24"/>
          <w:lang w:val="en-US"/>
        </w:rPr>
        <w:t>, despite more than a decade of commitments</w:t>
      </w:r>
      <w:r w:rsidR="00C66984" w:rsidRPr="00370DA4">
        <w:rPr>
          <w:rFonts w:eastAsia="Inter" w:cs="Inter"/>
          <w:sz w:val="24"/>
          <w:szCs w:val="24"/>
          <w:vertAlign w:val="superscript"/>
          <w:lang w:val="en-US"/>
        </w:rPr>
        <w:footnoteReference w:id="2"/>
      </w:r>
      <w:r w:rsidR="00C66984" w:rsidRPr="00370DA4">
        <w:rPr>
          <w:rFonts w:eastAsia="Inter" w:cs="Inter"/>
          <w:sz w:val="24"/>
          <w:szCs w:val="24"/>
          <w:lang w:val="en-US"/>
        </w:rPr>
        <w:t xml:space="preserve"> made at the UN General Assembly and successive Conferences of States Parties (</w:t>
      </w:r>
      <w:proofErr w:type="spellStart"/>
      <w:r w:rsidR="00C66984" w:rsidRPr="00370DA4">
        <w:rPr>
          <w:rFonts w:eastAsia="Inter" w:cs="Inter"/>
          <w:sz w:val="24"/>
          <w:szCs w:val="24"/>
          <w:lang w:val="en-US"/>
        </w:rPr>
        <w:t>CoSP</w:t>
      </w:r>
      <w:proofErr w:type="spellEnd"/>
      <w:r w:rsidR="00C66984" w:rsidRPr="00370DA4">
        <w:rPr>
          <w:rFonts w:eastAsia="Inter" w:cs="Inter"/>
          <w:sz w:val="24"/>
          <w:szCs w:val="24"/>
          <w:lang w:val="en-US"/>
        </w:rPr>
        <w:t>) to the United Nations Convention against Corruption (UNCAC),</w:t>
      </w:r>
      <w:r w:rsidR="00C66984" w:rsidRPr="00370DA4">
        <w:rPr>
          <w:rFonts w:eastAsia="Inter" w:cs="Inter"/>
          <w:sz w:val="24"/>
          <w:szCs w:val="24"/>
          <w:vertAlign w:val="superscript"/>
          <w:lang w:val="en-US"/>
        </w:rPr>
        <w:footnoteReference w:id="3"/>
      </w:r>
      <w:r w:rsidR="00C66984" w:rsidRPr="00370DA4">
        <w:rPr>
          <w:rFonts w:eastAsia="Inter" w:cs="Inter"/>
          <w:sz w:val="24"/>
          <w:szCs w:val="24"/>
          <w:lang w:val="en-US"/>
        </w:rPr>
        <w:t xml:space="preserve"> reliable and comparable data on asset recovery remains extremely limited. Official reporting is patchy, fragmented across jurisdictions, and often lacks the transparency needed for meaningful scrutiny. This persistent data gap makes it difficult to assess progress over time and undermines efforts to evaluate whether asset recovery is being conducted in a fair, effective, and inclusive manner. </w:t>
      </w:r>
    </w:p>
    <w:p w14:paraId="60656D44" w14:textId="77777777" w:rsidR="00C66984"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t>For civil society, the lack of accessible information severely limits the ability to monitor asset recovery processes, assess their integrity, and engage meaningfully with States to shape more accountable frameworks. It also prevents victims and affected communities from understanding what has been recovered on their behalf, and how.</w:t>
      </w:r>
    </w:p>
    <w:p w14:paraId="2E1DC3FD" w14:textId="77777777" w:rsidR="00C66984"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lastRenderedPageBreak/>
        <w:t xml:space="preserve">This submission brings together insights from two </w:t>
      </w:r>
      <w:proofErr w:type="gramStart"/>
      <w:r w:rsidRPr="00370DA4">
        <w:rPr>
          <w:rFonts w:eastAsia="Inter" w:cs="Inter"/>
          <w:sz w:val="24"/>
          <w:szCs w:val="24"/>
          <w:lang w:val="en-US"/>
        </w:rPr>
        <w:t>distinct</w:t>
      </w:r>
      <w:proofErr w:type="gramEnd"/>
      <w:r w:rsidRPr="00370DA4">
        <w:rPr>
          <w:rFonts w:eastAsia="Inter" w:cs="Inter"/>
          <w:sz w:val="24"/>
          <w:szCs w:val="24"/>
          <w:lang w:val="en-US"/>
        </w:rPr>
        <w:t xml:space="preserve"> but complementary research efforts conducted in 2025 by the UNCAC Coalition’s Working Group on Asset Recovery.</w:t>
      </w:r>
      <w:r w:rsidRPr="00370DA4">
        <w:rPr>
          <w:rFonts w:eastAsia="Inter" w:cs="Inter"/>
          <w:sz w:val="24"/>
          <w:szCs w:val="24"/>
          <w:vertAlign w:val="superscript"/>
          <w:lang w:val="en-US"/>
        </w:rPr>
        <w:footnoteReference w:id="4"/>
      </w:r>
      <w:r w:rsidRPr="00370DA4">
        <w:rPr>
          <w:rFonts w:eastAsia="Inter" w:cs="Inter"/>
          <w:sz w:val="24"/>
          <w:szCs w:val="24"/>
          <w:lang w:val="en-US"/>
        </w:rPr>
        <w:t xml:space="preserve"> The first is a survey, coordinated by </w:t>
      </w:r>
      <w:proofErr w:type="spellStart"/>
      <w:r w:rsidRPr="00370DA4">
        <w:rPr>
          <w:rFonts w:eastAsia="Inter" w:cs="Inter"/>
          <w:sz w:val="24"/>
          <w:szCs w:val="24"/>
          <w:lang w:val="en-US"/>
        </w:rPr>
        <w:t>CiFAR</w:t>
      </w:r>
      <w:proofErr w:type="spellEnd"/>
      <w:r w:rsidRPr="00370DA4">
        <w:rPr>
          <w:rFonts w:eastAsia="Inter" w:cs="Inter"/>
          <w:sz w:val="24"/>
          <w:szCs w:val="24"/>
          <w:lang w:val="en-US"/>
        </w:rPr>
        <w:t>,</w:t>
      </w:r>
      <w:r w:rsidRPr="00370DA4">
        <w:rPr>
          <w:rFonts w:eastAsia="Inter" w:cs="Inter"/>
          <w:sz w:val="24"/>
          <w:szCs w:val="24"/>
          <w:vertAlign w:val="superscript"/>
          <w:lang w:val="en-US"/>
        </w:rPr>
        <w:footnoteReference w:id="5"/>
      </w:r>
      <w:r w:rsidRPr="00370DA4">
        <w:rPr>
          <w:rFonts w:eastAsia="Inter" w:cs="Inter"/>
          <w:sz w:val="24"/>
          <w:szCs w:val="24"/>
          <w:lang w:val="en-US"/>
        </w:rPr>
        <w:t xml:space="preserve"> assessing the availability and accessibility of asset recovery data at the national level. The second, carried out by Transparency International France,</w:t>
      </w:r>
      <w:r w:rsidRPr="00370DA4">
        <w:rPr>
          <w:rFonts w:eastAsia="Inter" w:cs="Inter"/>
          <w:sz w:val="24"/>
          <w:szCs w:val="24"/>
          <w:vertAlign w:val="superscript"/>
          <w:lang w:val="en-US"/>
        </w:rPr>
        <w:footnoteReference w:id="6"/>
      </w:r>
      <w:r w:rsidRPr="00370DA4">
        <w:rPr>
          <w:rFonts w:eastAsia="Inter" w:cs="Inter"/>
          <w:sz w:val="24"/>
          <w:szCs w:val="24"/>
          <w:lang w:val="en-US"/>
        </w:rPr>
        <w:t xml:space="preserve"> is based on data from the </w:t>
      </w:r>
      <w:proofErr w:type="spellStart"/>
      <w:r w:rsidRPr="00370DA4">
        <w:rPr>
          <w:rFonts w:eastAsia="Inter" w:cs="Inter"/>
          <w:sz w:val="24"/>
          <w:szCs w:val="24"/>
          <w:lang w:val="en-US"/>
        </w:rPr>
        <w:t>StAR</w:t>
      </w:r>
      <w:proofErr w:type="spellEnd"/>
      <w:r w:rsidRPr="00370DA4">
        <w:rPr>
          <w:rFonts w:eastAsia="Inter" w:cs="Inter"/>
          <w:sz w:val="24"/>
          <w:szCs w:val="24"/>
          <w:lang w:val="en-US"/>
        </w:rPr>
        <w:t xml:space="preserve"> Asset Recovery Watch Database.</w:t>
      </w:r>
    </w:p>
    <w:p w14:paraId="46F4852B" w14:textId="1331DCAC" w:rsidR="00C66984"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t>The survey</w:t>
      </w:r>
      <w:r w:rsidR="00DB4EE8" w:rsidRPr="00370DA4">
        <w:rPr>
          <w:rFonts w:eastAsia="Inter" w:cs="Inter"/>
          <w:sz w:val="24"/>
          <w:szCs w:val="24"/>
          <w:lang w:val="en-US"/>
        </w:rPr>
        <w:t xml:space="preserve">, launched by the UNCAC Coalition Asset Recovery Working Group </w:t>
      </w:r>
      <w:r w:rsidRPr="00370DA4">
        <w:rPr>
          <w:rFonts w:eastAsia="Inter" w:cs="Inter"/>
          <w:sz w:val="24"/>
          <w:szCs w:val="24"/>
          <w:lang w:val="en-US"/>
        </w:rPr>
        <w:t>in May 2025</w:t>
      </w:r>
      <w:r w:rsidR="00DB4EE8" w:rsidRPr="00370DA4">
        <w:rPr>
          <w:rFonts w:eastAsia="Inter" w:cs="Inter"/>
          <w:sz w:val="24"/>
          <w:szCs w:val="24"/>
          <w:lang w:val="en-US"/>
        </w:rPr>
        <w:t>,</w:t>
      </w:r>
      <w:r w:rsidRPr="00370DA4">
        <w:rPr>
          <w:rFonts w:eastAsia="Inter" w:cs="Inter"/>
          <w:sz w:val="24"/>
          <w:szCs w:val="24"/>
          <w:lang w:val="en-US"/>
        </w:rPr>
        <w:t xml:space="preserve"> </w:t>
      </w:r>
      <w:r w:rsidR="00DB4EE8" w:rsidRPr="00370DA4">
        <w:rPr>
          <w:rFonts w:eastAsia="Inter" w:cs="Inter"/>
          <w:sz w:val="24"/>
          <w:szCs w:val="24"/>
          <w:lang w:val="en-US"/>
        </w:rPr>
        <w:t>assessed</w:t>
      </w:r>
      <w:r w:rsidRPr="00370DA4">
        <w:rPr>
          <w:rFonts w:eastAsia="Inter" w:cs="Inter"/>
          <w:sz w:val="24"/>
          <w:szCs w:val="24"/>
          <w:lang w:val="en-US"/>
        </w:rPr>
        <w:t xml:space="preserve"> the extent to which a sample of governments publicly disclose data related to corruption-related asset recovery.</w:t>
      </w:r>
      <w:r w:rsidRPr="00370DA4">
        <w:rPr>
          <w:rFonts w:eastAsia="Inter" w:cs="Inter"/>
          <w:sz w:val="24"/>
          <w:szCs w:val="24"/>
          <w:vertAlign w:val="superscript"/>
          <w:lang w:val="en-US"/>
        </w:rPr>
        <w:footnoteReference w:id="7"/>
      </w:r>
      <w:r w:rsidRPr="00370DA4">
        <w:rPr>
          <w:rFonts w:eastAsia="Inter" w:cs="Inter"/>
          <w:sz w:val="24"/>
          <w:szCs w:val="24"/>
          <w:lang w:val="en-US"/>
        </w:rPr>
        <w:t xml:space="preserve"> The survey was circulated to members of the Working Group and received responses from 12 civil society organizations and individuals in their personal capacity, covering 15 jurisdictions. These included both major asset-returning jurisdictions and countries engaged in asset recovery efforts.</w:t>
      </w:r>
    </w:p>
    <w:p w14:paraId="2DA5AEAB" w14:textId="77777777" w:rsidR="00C66984"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t>The survey examined several key areas: the availability and regularity of data on the volume of frozen, confiscated, returned, or received funds; the existence of methodologies used to calculate such figures; the availability of information on ongoing and concluded asset recovery cases; the publication of relevant legislation, national strategies, and cost apportionment criteria; and the accessibility of return agreements. It also assessed the general ease of accessing this information.</w:t>
      </w:r>
    </w:p>
    <w:p w14:paraId="1738008E" w14:textId="7C4B1336" w:rsidR="00D82EAD"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t xml:space="preserve">The results reveal significant inconsistencies across jurisdictions. Only a minority of countries </w:t>
      </w:r>
      <w:r w:rsidR="00DB4EE8" w:rsidRPr="00370DA4">
        <w:rPr>
          <w:rFonts w:eastAsia="Inter" w:cs="Inter"/>
          <w:sz w:val="24"/>
          <w:szCs w:val="24"/>
          <w:lang w:val="en-US"/>
        </w:rPr>
        <w:t xml:space="preserve">were found to </w:t>
      </w:r>
      <w:r w:rsidRPr="00370DA4">
        <w:rPr>
          <w:rFonts w:eastAsia="Inter" w:cs="Inter"/>
          <w:sz w:val="24"/>
          <w:szCs w:val="24"/>
          <w:lang w:val="en-US"/>
        </w:rPr>
        <w:t>regularly publish data on asset recovery, and even fewer disclose</w:t>
      </w:r>
      <w:r w:rsidR="00DB4EE8" w:rsidRPr="00370DA4">
        <w:rPr>
          <w:rFonts w:eastAsia="Inter" w:cs="Inter"/>
          <w:sz w:val="24"/>
          <w:szCs w:val="24"/>
          <w:lang w:val="en-US"/>
        </w:rPr>
        <w:t>d</w:t>
      </w:r>
      <w:r w:rsidRPr="00370DA4">
        <w:rPr>
          <w:rFonts w:eastAsia="Inter" w:cs="Inter"/>
          <w:sz w:val="24"/>
          <w:szCs w:val="24"/>
          <w:lang w:val="en-US"/>
        </w:rPr>
        <w:t xml:space="preserve"> the methodologies used to calculate that data, making cross-country comparisons difficult. Access to case-specific information remain</w:t>
      </w:r>
      <w:r w:rsidR="00DB4EE8" w:rsidRPr="00370DA4">
        <w:rPr>
          <w:rFonts w:eastAsia="Inter" w:cs="Inter"/>
          <w:sz w:val="24"/>
          <w:szCs w:val="24"/>
          <w:lang w:val="en-US"/>
        </w:rPr>
        <w:t>ed</w:t>
      </w:r>
      <w:r w:rsidRPr="00370DA4">
        <w:rPr>
          <w:rFonts w:eastAsia="Inter" w:cs="Inter"/>
          <w:sz w:val="24"/>
          <w:szCs w:val="24"/>
          <w:lang w:val="en-US"/>
        </w:rPr>
        <w:t xml:space="preserve"> highly fragmented. In all surveyed countries, it </w:t>
      </w:r>
      <w:r w:rsidR="00DB4EE8" w:rsidRPr="00370DA4">
        <w:rPr>
          <w:rFonts w:eastAsia="Inter" w:cs="Inter"/>
          <w:sz w:val="24"/>
          <w:szCs w:val="24"/>
          <w:lang w:val="en-US"/>
        </w:rPr>
        <w:t>wa</w:t>
      </w:r>
      <w:r w:rsidRPr="00370DA4">
        <w:rPr>
          <w:rFonts w:eastAsia="Inter" w:cs="Inter"/>
          <w:sz w:val="24"/>
          <w:szCs w:val="24"/>
          <w:lang w:val="en-US"/>
        </w:rPr>
        <w:t xml:space="preserve">s difficult to obtain a comprehensive picture of the cases being prosecuted and those that have been completed. While most countries </w:t>
      </w:r>
      <w:r w:rsidR="00DB4EE8" w:rsidRPr="00370DA4">
        <w:rPr>
          <w:rFonts w:eastAsia="Inter" w:cs="Inter"/>
          <w:sz w:val="24"/>
          <w:szCs w:val="24"/>
          <w:lang w:val="en-US"/>
        </w:rPr>
        <w:t xml:space="preserve">had </w:t>
      </w:r>
      <w:r w:rsidRPr="00370DA4">
        <w:rPr>
          <w:rFonts w:eastAsia="Inter" w:cs="Inter"/>
          <w:sz w:val="24"/>
          <w:szCs w:val="24"/>
          <w:lang w:val="en-US"/>
        </w:rPr>
        <w:t xml:space="preserve">enacted relevant legislation, fewer than half </w:t>
      </w:r>
      <w:r w:rsidR="00DB4EE8" w:rsidRPr="00370DA4">
        <w:rPr>
          <w:rFonts w:eastAsia="Inter" w:cs="Inter"/>
          <w:sz w:val="24"/>
          <w:szCs w:val="24"/>
          <w:lang w:val="en-US"/>
        </w:rPr>
        <w:t xml:space="preserve">had </w:t>
      </w:r>
      <w:r w:rsidRPr="00370DA4">
        <w:rPr>
          <w:rFonts w:eastAsia="Inter" w:cs="Inter"/>
          <w:sz w:val="24"/>
          <w:szCs w:val="24"/>
          <w:lang w:val="en-US"/>
        </w:rPr>
        <w:t xml:space="preserve">published national strategies on asset recovery. Even fewer </w:t>
      </w:r>
      <w:r w:rsidR="00DB4EE8" w:rsidRPr="00370DA4">
        <w:rPr>
          <w:rFonts w:eastAsia="Inter" w:cs="Inter"/>
          <w:sz w:val="24"/>
          <w:szCs w:val="24"/>
          <w:lang w:val="en-US"/>
        </w:rPr>
        <w:t xml:space="preserve">had </w:t>
      </w:r>
      <w:r w:rsidRPr="00370DA4">
        <w:rPr>
          <w:rFonts w:eastAsia="Inter" w:cs="Inter"/>
          <w:sz w:val="24"/>
          <w:szCs w:val="24"/>
          <w:lang w:val="en-US"/>
        </w:rPr>
        <w:t>publish</w:t>
      </w:r>
      <w:r w:rsidR="00DB4EE8" w:rsidRPr="00370DA4">
        <w:rPr>
          <w:rFonts w:eastAsia="Inter" w:cs="Inter"/>
          <w:sz w:val="24"/>
          <w:szCs w:val="24"/>
          <w:lang w:val="en-US"/>
        </w:rPr>
        <w:t>ed</w:t>
      </w:r>
      <w:r w:rsidRPr="00370DA4">
        <w:rPr>
          <w:rFonts w:eastAsia="Inter" w:cs="Inter"/>
          <w:sz w:val="24"/>
          <w:szCs w:val="24"/>
          <w:lang w:val="en-US"/>
        </w:rPr>
        <w:t xml:space="preserve"> memoranda of understanding or return agreements governing the restitution process. Cost apportionment rules and asset-sharing criteria </w:t>
      </w:r>
      <w:r w:rsidR="00DB4EE8" w:rsidRPr="00370DA4">
        <w:rPr>
          <w:rFonts w:eastAsia="Inter" w:cs="Inter"/>
          <w:sz w:val="24"/>
          <w:szCs w:val="24"/>
          <w:lang w:val="en-US"/>
        </w:rPr>
        <w:t xml:space="preserve">were </w:t>
      </w:r>
      <w:r w:rsidRPr="00370DA4">
        <w:rPr>
          <w:rFonts w:eastAsia="Inter" w:cs="Inter"/>
          <w:sz w:val="24"/>
          <w:szCs w:val="24"/>
          <w:lang w:val="en-US"/>
        </w:rPr>
        <w:t xml:space="preserve">rarely </w:t>
      </w:r>
      <w:r w:rsidR="00DB4EE8" w:rsidRPr="00370DA4">
        <w:rPr>
          <w:rFonts w:eastAsia="Inter" w:cs="Inter"/>
          <w:sz w:val="24"/>
          <w:szCs w:val="24"/>
          <w:lang w:val="en-US"/>
        </w:rPr>
        <w:t xml:space="preserve">found to have been </w:t>
      </w:r>
      <w:r w:rsidRPr="00370DA4">
        <w:rPr>
          <w:rFonts w:eastAsia="Inter" w:cs="Inter"/>
          <w:sz w:val="24"/>
          <w:szCs w:val="24"/>
          <w:lang w:val="en-US"/>
        </w:rPr>
        <w:t>made public, limiting understanding of the difference between recovered and returned assets.</w:t>
      </w:r>
    </w:p>
    <w:p w14:paraId="284006F5" w14:textId="4B49AFCA" w:rsidR="00C66984"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lastRenderedPageBreak/>
        <w:t xml:space="preserve">In parallel, the UNCAC Coalition Asset Recovery Working Group started an analysis (publication </w:t>
      </w:r>
      <w:r w:rsidR="00DB4EE8" w:rsidRPr="00370DA4">
        <w:rPr>
          <w:rFonts w:eastAsia="Inter" w:cs="Inter"/>
          <w:sz w:val="24"/>
          <w:szCs w:val="24"/>
          <w:lang w:val="en-US"/>
        </w:rPr>
        <w:t>forthcoming</w:t>
      </w:r>
      <w:r w:rsidRPr="00370DA4">
        <w:rPr>
          <w:rFonts w:eastAsia="Inter" w:cs="Inter"/>
          <w:sz w:val="24"/>
          <w:szCs w:val="24"/>
          <w:lang w:val="en-US"/>
        </w:rPr>
        <w:t xml:space="preserve">) of the </w:t>
      </w:r>
      <w:proofErr w:type="spellStart"/>
      <w:r w:rsidRPr="00370DA4">
        <w:rPr>
          <w:rFonts w:eastAsia="Inter" w:cs="Inter"/>
          <w:sz w:val="24"/>
          <w:szCs w:val="24"/>
          <w:lang w:val="en-US"/>
        </w:rPr>
        <w:t>StAR</w:t>
      </w:r>
      <w:proofErr w:type="spellEnd"/>
      <w:r w:rsidRPr="00370DA4">
        <w:rPr>
          <w:rFonts w:eastAsia="Inter" w:cs="Inter"/>
          <w:sz w:val="24"/>
          <w:szCs w:val="24"/>
          <w:lang w:val="en-US"/>
        </w:rPr>
        <w:t xml:space="preserve"> Asset Recovery Watch Database.</w:t>
      </w:r>
      <w:r w:rsidRPr="00370DA4">
        <w:rPr>
          <w:rFonts w:eastAsia="Inter" w:cs="Inter"/>
          <w:sz w:val="24"/>
          <w:szCs w:val="24"/>
          <w:vertAlign w:val="superscript"/>
          <w:lang w:val="en-US"/>
        </w:rPr>
        <w:footnoteReference w:id="8"/>
      </w:r>
      <w:r w:rsidRPr="00370DA4">
        <w:rPr>
          <w:rFonts w:eastAsia="Inter" w:cs="Inter"/>
          <w:sz w:val="24"/>
          <w:szCs w:val="24"/>
          <w:lang w:val="en-US"/>
        </w:rPr>
        <w:t xml:space="preserve"> The </w:t>
      </w:r>
      <w:proofErr w:type="spellStart"/>
      <w:r w:rsidRPr="00370DA4">
        <w:rPr>
          <w:rFonts w:eastAsia="Inter" w:cs="Inter"/>
          <w:sz w:val="24"/>
          <w:szCs w:val="24"/>
          <w:lang w:val="en-US"/>
        </w:rPr>
        <w:t>StAR</w:t>
      </w:r>
      <w:proofErr w:type="spellEnd"/>
      <w:r w:rsidRPr="00370DA4">
        <w:rPr>
          <w:rFonts w:eastAsia="Inter" w:cs="Inter"/>
          <w:sz w:val="24"/>
          <w:szCs w:val="24"/>
          <w:lang w:val="en-US"/>
        </w:rPr>
        <w:t xml:space="preserve"> database is built on responses submitted by States Parties to the UNCAC through a series of questionnaires, as well as open-source research conducted by the </w:t>
      </w:r>
      <w:proofErr w:type="spellStart"/>
      <w:r w:rsidRPr="00370DA4">
        <w:rPr>
          <w:rFonts w:eastAsia="Inter" w:cs="Inter"/>
          <w:sz w:val="24"/>
          <w:szCs w:val="24"/>
          <w:lang w:val="en-US"/>
        </w:rPr>
        <w:t>StAR</w:t>
      </w:r>
      <w:proofErr w:type="spellEnd"/>
      <w:r w:rsidRPr="00370DA4">
        <w:rPr>
          <w:rFonts w:eastAsia="Inter" w:cs="Inter"/>
          <w:sz w:val="24"/>
          <w:szCs w:val="24"/>
          <w:lang w:val="en-US"/>
        </w:rPr>
        <w:t xml:space="preserve"> Secretariat using official public documents, court decisions, press releases, and credible media or civil society reports. </w:t>
      </w:r>
    </w:p>
    <w:p w14:paraId="3B579B2D" w14:textId="77777777" w:rsidR="00C66984"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t xml:space="preserve">Leading this research, Transparency International France examined which States responded to the </w:t>
      </w:r>
      <w:proofErr w:type="spellStart"/>
      <w:r w:rsidRPr="00370DA4">
        <w:rPr>
          <w:rFonts w:eastAsia="Inter" w:cs="Inter"/>
          <w:sz w:val="24"/>
          <w:szCs w:val="24"/>
          <w:lang w:val="en-US"/>
        </w:rPr>
        <w:t>StAR</w:t>
      </w:r>
      <w:proofErr w:type="spellEnd"/>
      <w:r w:rsidRPr="00370DA4">
        <w:rPr>
          <w:rFonts w:eastAsia="Inter" w:cs="Inter"/>
          <w:sz w:val="24"/>
          <w:szCs w:val="24"/>
          <w:lang w:val="en-US"/>
        </w:rPr>
        <w:t xml:space="preserve"> questionnaires.</w:t>
      </w:r>
      <w:r w:rsidRPr="00370DA4">
        <w:rPr>
          <w:rFonts w:eastAsia="Inter" w:cs="Inter"/>
          <w:sz w:val="24"/>
          <w:szCs w:val="24"/>
          <w:vertAlign w:val="superscript"/>
          <w:lang w:val="en-US"/>
        </w:rPr>
        <w:footnoteReference w:id="9"/>
      </w:r>
      <w:r w:rsidRPr="00370DA4">
        <w:rPr>
          <w:rFonts w:eastAsia="Inter" w:cs="Inter"/>
          <w:sz w:val="24"/>
          <w:szCs w:val="24"/>
          <w:lang w:val="en-US"/>
        </w:rPr>
        <w:t xml:space="preserve"> The picture that emerges is patchy. The last questionnaire released by </w:t>
      </w:r>
      <w:proofErr w:type="spellStart"/>
      <w:r w:rsidRPr="00370DA4">
        <w:rPr>
          <w:rFonts w:eastAsia="Inter" w:cs="Inter"/>
          <w:sz w:val="24"/>
          <w:szCs w:val="24"/>
          <w:lang w:val="en-US"/>
        </w:rPr>
        <w:t>StAR</w:t>
      </w:r>
      <w:proofErr w:type="spellEnd"/>
      <w:r w:rsidRPr="00370DA4">
        <w:rPr>
          <w:rFonts w:eastAsia="Inter" w:cs="Inter"/>
          <w:sz w:val="24"/>
          <w:szCs w:val="24"/>
          <w:lang w:val="en-US"/>
        </w:rPr>
        <w:t xml:space="preserve"> in 2023 yielded replies from 96 States, or 50% of UNCAC State Parties. Some States remained silent despite their involvement in major cross-border corruption or asset recovery cases and despite being members of international fora such as the G7 or the G20. The absence of reporting from these influential jurisdictions is particularly notable given their international commitments to asset recovery transparency.</w:t>
      </w:r>
    </w:p>
    <w:p w14:paraId="2AE8F3B4" w14:textId="4D58C9F2" w:rsidR="00C66984"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t>In addition to low participation rates, the quality and completeness of the data submitted raise</w:t>
      </w:r>
      <w:r w:rsidR="00DB4EE8" w:rsidRPr="00370DA4">
        <w:rPr>
          <w:rFonts w:eastAsia="Inter" w:cs="Inter"/>
          <w:sz w:val="24"/>
          <w:szCs w:val="24"/>
          <w:lang w:val="en-US"/>
        </w:rPr>
        <w:t>d</w:t>
      </w:r>
      <w:r w:rsidRPr="00370DA4">
        <w:rPr>
          <w:rFonts w:eastAsia="Inter" w:cs="Inter"/>
          <w:sz w:val="24"/>
          <w:szCs w:val="24"/>
          <w:lang w:val="en-US"/>
        </w:rPr>
        <w:t xml:space="preserve"> further concerns. Although approximately 60% of recorded cases originated from State submissions, </w:t>
      </w:r>
      <w:proofErr w:type="spellStart"/>
      <w:r w:rsidRPr="00370DA4">
        <w:rPr>
          <w:rFonts w:eastAsia="Inter" w:cs="Inter"/>
          <w:sz w:val="24"/>
          <w:szCs w:val="24"/>
          <w:lang w:val="en-US"/>
        </w:rPr>
        <w:t>StAR’s</w:t>
      </w:r>
      <w:proofErr w:type="spellEnd"/>
      <w:r w:rsidRPr="00370DA4">
        <w:rPr>
          <w:rFonts w:eastAsia="Inter" w:cs="Inter"/>
          <w:sz w:val="24"/>
          <w:szCs w:val="24"/>
          <w:lang w:val="en-US"/>
        </w:rPr>
        <w:t xml:space="preserve"> desk research was indispensable in broadening the database’s scope. Overall, only about 37% of data fields across the 556 cases in the database were completed. Surprisingly, cases based solely on information provided by States had a completion rate of just 39%, only slightly above the overall average. Key variables – including the country of origin, implicated UNCAC offenses, sectors and intermediaries involved, public officials named, as well as dates of initiation and return – were frequently left blank.</w:t>
      </w:r>
    </w:p>
    <w:p w14:paraId="45D9F883" w14:textId="77777777" w:rsidR="00C66984" w:rsidRPr="00370DA4" w:rsidRDefault="00C66984" w:rsidP="00C66984">
      <w:pPr>
        <w:spacing w:before="240" w:after="0"/>
        <w:jc w:val="both"/>
        <w:rPr>
          <w:rFonts w:eastAsia="Inter" w:cs="Inter"/>
          <w:sz w:val="24"/>
          <w:szCs w:val="24"/>
          <w:lang w:val="en-US"/>
        </w:rPr>
      </w:pPr>
      <w:r w:rsidRPr="00370DA4">
        <w:rPr>
          <w:rFonts w:eastAsia="Inter" w:cs="Inter"/>
          <w:sz w:val="24"/>
          <w:szCs w:val="24"/>
          <w:lang w:val="en-US"/>
        </w:rPr>
        <w:t>Taken together, these two studies demonstrate that, despite international commitments and repeated calls for improved transparency, the availability of reliable and comprehensive asset recovery data remains extremely limited. Where data is provided, it is often incomplete, inconsistent, or inaccessible, both at the international and national levels.</w:t>
      </w:r>
    </w:p>
    <w:p w14:paraId="61C582F2" w14:textId="77777777" w:rsidR="00041907" w:rsidRPr="00370DA4" w:rsidRDefault="00041907" w:rsidP="00041907">
      <w:pPr>
        <w:spacing w:after="0"/>
        <w:jc w:val="both"/>
        <w:rPr>
          <w:rFonts w:eastAsia="Inter" w:cs="Inter"/>
          <w:b/>
          <w:bCs/>
          <w:sz w:val="24"/>
          <w:szCs w:val="24"/>
          <w:lang w:val="en-US"/>
        </w:rPr>
      </w:pPr>
    </w:p>
    <w:p w14:paraId="37C3C257" w14:textId="40AA78B5" w:rsidR="0071751D" w:rsidRPr="00370DA4" w:rsidRDefault="00C66984" w:rsidP="00041907">
      <w:pPr>
        <w:pStyle w:val="Heading2"/>
        <w:spacing w:before="0" w:after="0"/>
        <w:rPr>
          <w:rFonts w:asciiTheme="minorHAnsi" w:hAnsiTheme="minorHAnsi"/>
          <w:bCs/>
          <w:color w:val="000000" w:themeColor="text1"/>
          <w:sz w:val="24"/>
          <w:szCs w:val="24"/>
          <w:lang w:val="en-US"/>
        </w:rPr>
      </w:pPr>
      <w:r w:rsidRPr="00370DA4">
        <w:rPr>
          <w:rFonts w:asciiTheme="minorHAnsi" w:hAnsiTheme="minorHAnsi"/>
          <w:bCs/>
          <w:color w:val="000000" w:themeColor="text1"/>
          <w:sz w:val="24"/>
          <w:szCs w:val="24"/>
          <w:lang w:val="en-US"/>
        </w:rPr>
        <w:t>Recommendations to strengthen transparency in asset recovery</w:t>
      </w:r>
    </w:p>
    <w:p w14:paraId="4405E781" w14:textId="1CBB4C60" w:rsidR="00C66984" w:rsidRPr="00370DA4" w:rsidRDefault="00C66984" w:rsidP="00C66984">
      <w:pPr>
        <w:spacing w:before="240" w:after="240"/>
        <w:jc w:val="both"/>
        <w:rPr>
          <w:rFonts w:eastAsia="Inter" w:cs="Inter"/>
          <w:sz w:val="24"/>
          <w:szCs w:val="24"/>
          <w:lang w:val="en-US"/>
        </w:rPr>
      </w:pPr>
      <w:r w:rsidRPr="00370DA4">
        <w:rPr>
          <w:rFonts w:eastAsia="Inter" w:cs="Inter"/>
          <w:sz w:val="24"/>
          <w:szCs w:val="24"/>
          <w:lang w:val="en-US"/>
        </w:rPr>
        <w:t>To address these gaps, States should take concrete steps to improve the transparency, accessibility, and consistency of asset recovery data and documentation.</w:t>
      </w:r>
    </w:p>
    <w:p w14:paraId="318F2B8A" w14:textId="77777777" w:rsidR="00C66984" w:rsidRPr="00370DA4" w:rsidRDefault="00C66984" w:rsidP="00C66984">
      <w:pPr>
        <w:spacing w:before="240" w:after="240"/>
        <w:jc w:val="both"/>
        <w:rPr>
          <w:rFonts w:eastAsia="Inter" w:cs="Inter"/>
          <w:sz w:val="24"/>
          <w:szCs w:val="24"/>
          <w:lang w:val="en-US"/>
        </w:rPr>
      </w:pPr>
      <w:r w:rsidRPr="00370DA4">
        <w:rPr>
          <w:rFonts w:eastAsia="Inter" w:cs="Inter"/>
          <w:sz w:val="24"/>
          <w:szCs w:val="24"/>
          <w:lang w:val="en-US"/>
        </w:rPr>
        <w:lastRenderedPageBreak/>
        <w:t>First, governments should set up or designate a dedicated public webpage linking to all relevant information on asset recovery. This should include legislation, national strategies, case information, memoranda of understanding and other agreements, statistics, and methodologies for calculating asset recovery figures. Making this information easy to locate and navigate is essential for public accountability.</w:t>
      </w:r>
    </w:p>
    <w:p w14:paraId="5C860CBF" w14:textId="77777777" w:rsidR="00C66984" w:rsidRPr="00370DA4" w:rsidRDefault="00C66984" w:rsidP="00C66984">
      <w:pPr>
        <w:spacing w:before="240" w:after="240"/>
        <w:jc w:val="both"/>
        <w:rPr>
          <w:rFonts w:eastAsia="Inter" w:cs="Inter"/>
          <w:sz w:val="24"/>
          <w:szCs w:val="24"/>
          <w:lang w:val="en-US"/>
        </w:rPr>
      </w:pPr>
      <w:r w:rsidRPr="00370DA4">
        <w:rPr>
          <w:rFonts w:eastAsia="Inter" w:cs="Inter"/>
          <w:sz w:val="24"/>
          <w:szCs w:val="24"/>
          <w:lang w:val="en-US"/>
        </w:rPr>
        <w:t>Where key documents do not currently exist (for example, policies on cost-sharing or national strategies on asset recovery), States should initiate inclusive processes to develop these frameworks and ensure they are made publicly available.</w:t>
      </w:r>
    </w:p>
    <w:p w14:paraId="1DA3DD65" w14:textId="77777777" w:rsidR="00C66984" w:rsidRPr="00370DA4" w:rsidRDefault="00C66984" w:rsidP="00C66984">
      <w:pPr>
        <w:spacing w:before="240" w:after="240"/>
        <w:jc w:val="both"/>
        <w:rPr>
          <w:rFonts w:eastAsia="Inter" w:cs="Inter"/>
          <w:sz w:val="24"/>
          <w:szCs w:val="24"/>
          <w:lang w:val="en-US"/>
        </w:rPr>
      </w:pPr>
      <w:r w:rsidRPr="00370DA4">
        <w:rPr>
          <w:rFonts w:eastAsia="Inter" w:cs="Inter"/>
          <w:sz w:val="24"/>
          <w:szCs w:val="24"/>
          <w:lang w:val="en-US"/>
        </w:rPr>
        <w:t>States should also publish annual asset recovery statistics, accompanied by clear and accessible explanations of how these figures are compiled. Where such statistics are not yet being collected or collated, policies should be adopted to institutionalize regular data collection and publication.</w:t>
      </w:r>
    </w:p>
    <w:p w14:paraId="327135A6" w14:textId="77777777" w:rsidR="00C66984" w:rsidRPr="00370DA4" w:rsidRDefault="00C66984" w:rsidP="00C66984">
      <w:pPr>
        <w:spacing w:before="240" w:after="240"/>
        <w:jc w:val="both"/>
        <w:rPr>
          <w:rFonts w:eastAsia="Inter" w:cs="Inter"/>
          <w:sz w:val="24"/>
          <w:szCs w:val="24"/>
          <w:lang w:val="en-US"/>
        </w:rPr>
      </w:pPr>
      <w:r w:rsidRPr="00370DA4">
        <w:rPr>
          <w:rFonts w:eastAsia="Inter" w:cs="Inter"/>
          <w:sz w:val="24"/>
          <w:szCs w:val="24"/>
          <w:lang w:val="en-US"/>
        </w:rPr>
        <w:t>To enhance international cooperation, States should commit to exchanging experiences and pursue coordinated approaches in gathering and presenting asset recovery data, as well as in developing return policies, strategies, and agreements.</w:t>
      </w:r>
    </w:p>
    <w:p w14:paraId="3C23DF7F" w14:textId="77777777" w:rsidR="00C66984" w:rsidRPr="00370DA4" w:rsidRDefault="00C66984" w:rsidP="00C66984">
      <w:pPr>
        <w:spacing w:before="240" w:after="240"/>
        <w:jc w:val="both"/>
        <w:rPr>
          <w:rFonts w:eastAsia="Inter" w:cs="Inter"/>
          <w:sz w:val="24"/>
          <w:szCs w:val="24"/>
          <w:lang w:val="en-US"/>
        </w:rPr>
      </w:pPr>
      <w:r w:rsidRPr="00370DA4">
        <w:rPr>
          <w:rFonts w:eastAsia="Inter" w:cs="Inter"/>
          <w:sz w:val="24"/>
          <w:szCs w:val="24"/>
          <w:lang w:val="en-US"/>
        </w:rPr>
        <w:t xml:space="preserve">States should also continue to regularly transmit case information to the </w:t>
      </w:r>
      <w:proofErr w:type="spellStart"/>
      <w:r w:rsidRPr="00370DA4">
        <w:rPr>
          <w:rFonts w:eastAsia="Inter" w:cs="Inter"/>
          <w:sz w:val="24"/>
          <w:szCs w:val="24"/>
          <w:lang w:val="en-US"/>
        </w:rPr>
        <w:t>StAR</w:t>
      </w:r>
      <w:proofErr w:type="spellEnd"/>
      <w:r w:rsidRPr="00370DA4">
        <w:rPr>
          <w:rFonts w:eastAsia="Inter" w:cs="Inter"/>
          <w:sz w:val="24"/>
          <w:szCs w:val="24"/>
          <w:lang w:val="en-US"/>
        </w:rPr>
        <w:t xml:space="preserve"> Asset Recovery Watch database and make efforts to identify and close any existing gaps in their reporting.</w:t>
      </w:r>
    </w:p>
    <w:p w14:paraId="4741DBD6" w14:textId="77777777" w:rsidR="00C66984" w:rsidRPr="00370DA4" w:rsidRDefault="00C66984" w:rsidP="00C66984">
      <w:pPr>
        <w:spacing w:before="240" w:after="240"/>
        <w:jc w:val="both"/>
        <w:rPr>
          <w:rFonts w:eastAsia="Inter" w:cs="Inter"/>
          <w:sz w:val="24"/>
          <w:szCs w:val="24"/>
          <w:lang w:val="en-US"/>
        </w:rPr>
      </w:pPr>
      <w:r w:rsidRPr="00370DA4">
        <w:rPr>
          <w:rFonts w:eastAsia="Inter" w:cs="Inter"/>
          <w:sz w:val="24"/>
          <w:szCs w:val="24"/>
          <w:lang w:val="en-US"/>
        </w:rPr>
        <w:t>States should integrate civil society representatives into multi-stakeholder oversight committees and consultation processes for return agreements. Creating such participatory mechanisms would help close the trust gap between authorities and affected communities while improving data accuracy and inclusiveness. Non-governmental and community-based organizations can act as neutral monitors, data intermediaries, and advocates for victim-centered restitution.</w:t>
      </w:r>
    </w:p>
    <w:p w14:paraId="449B6C45" w14:textId="77777777" w:rsidR="00C66984" w:rsidRPr="00370DA4" w:rsidRDefault="00C66984" w:rsidP="00C66984">
      <w:pPr>
        <w:spacing w:before="240" w:after="240"/>
        <w:jc w:val="both"/>
        <w:rPr>
          <w:rFonts w:eastAsia="Inter" w:cs="Inter"/>
          <w:sz w:val="24"/>
          <w:szCs w:val="24"/>
          <w:lang w:val="en-US"/>
        </w:rPr>
      </w:pPr>
      <w:r w:rsidRPr="00370DA4">
        <w:rPr>
          <w:rFonts w:eastAsia="Inter" w:cs="Inter"/>
          <w:sz w:val="24"/>
          <w:szCs w:val="24"/>
          <w:lang w:val="en-US"/>
        </w:rPr>
        <w:t xml:space="preserve">Finally, transparency frameworks should be supported by access to information laws that clearly apply to asset recovery processes. Where data is not proactively published, stakeholders should be able to request access through legally guaranteed mechanisms and States should expedite responses to increase public oversight. </w:t>
      </w:r>
    </w:p>
    <w:p w14:paraId="6FDB5970" w14:textId="634116A1" w:rsidR="00C66984" w:rsidRPr="00370DA4" w:rsidRDefault="00C66984" w:rsidP="00C66984">
      <w:pPr>
        <w:spacing w:before="240" w:after="0"/>
        <w:jc w:val="both"/>
        <w:rPr>
          <w:rFonts w:ascii="Aptos" w:eastAsia="Inter" w:hAnsi="Aptos" w:cs="Inter"/>
          <w:sz w:val="24"/>
          <w:szCs w:val="24"/>
          <w:lang w:val="en-US"/>
        </w:rPr>
      </w:pPr>
      <w:r w:rsidRPr="00370DA4">
        <w:rPr>
          <w:rFonts w:eastAsia="Inter" w:cs="Inter"/>
          <w:sz w:val="24"/>
          <w:szCs w:val="24"/>
          <w:lang w:val="en-US"/>
        </w:rPr>
        <w:t>By taking these steps, States can contribute to greater global accountability, support victims’ rights to redress, and help ensure that the recovery and return of stolen assets serve the public interest.</w:t>
      </w:r>
    </w:p>
    <w:p w14:paraId="6639E5BB" w14:textId="20003921" w:rsidR="0064600C" w:rsidRPr="00313E88" w:rsidRDefault="0064600C" w:rsidP="0071751D">
      <w:pPr>
        <w:spacing w:after="0"/>
        <w:jc w:val="both"/>
        <w:rPr>
          <w:rFonts w:ascii="Aptos" w:eastAsia="Inter" w:hAnsi="Aptos" w:cs="Inter"/>
          <w:sz w:val="24"/>
          <w:szCs w:val="24"/>
          <w:lang w:val="en-US"/>
        </w:rPr>
      </w:pPr>
    </w:p>
    <w:sectPr w:rsidR="0064600C" w:rsidRPr="00313E88" w:rsidSect="00BC2368">
      <w:headerReference w:type="default" r:id="rId8"/>
      <w:footerReference w:type="default" r:id="rId9"/>
      <w:headerReference w:type="first" r:id="rId10"/>
      <w:footerReference w:type="first" r:id="rId11"/>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00885" w14:textId="77777777" w:rsidR="00385B5B" w:rsidRDefault="00385B5B" w:rsidP="00F04F4E">
      <w:pPr>
        <w:spacing w:after="0"/>
      </w:pPr>
      <w:r>
        <w:separator/>
      </w:r>
    </w:p>
  </w:endnote>
  <w:endnote w:type="continuationSeparator" w:id="0">
    <w:p w14:paraId="64D8A83C" w14:textId="77777777" w:rsidR="00385B5B" w:rsidRDefault="00385B5B" w:rsidP="00F04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69D0F4DA-C19B-7E44-AFBE-92FA607B6BDC}"/>
  </w:font>
  <w:font w:name="Times New Roman">
    <w:panose1 w:val="02020603050405020304"/>
    <w:charset w:val="00"/>
    <w:family w:val="roman"/>
    <w:pitch w:val="variable"/>
    <w:sig w:usb0="E0002EFF" w:usb1="C000785B" w:usb2="00000009" w:usb3="00000000" w:csb0="000001FF" w:csb1="00000000"/>
    <w:embedRegular r:id="rId2" w:fontKey="{CBFE4C76-9A06-DD45-8C1B-8E35348CEB1C}"/>
    <w:embedBold r:id="rId3" w:fontKey="{81FFCD1A-5A83-554E-95FF-BEA9B91A15F7}"/>
    <w:embedItalic r:id="rId4" w:fontKey="{7F25D2CB-0C36-C241-832C-A63017DA4843}"/>
  </w:font>
  <w:font w:name="Courier New">
    <w:panose1 w:val="02070309020205020404"/>
    <w:charset w:val="00"/>
    <w:family w:val="modern"/>
    <w:pitch w:val="fixed"/>
    <w:sig w:usb0="E0002EFF" w:usb1="C0007843" w:usb2="00000009" w:usb3="00000000" w:csb0="000001FF" w:csb1="00000000"/>
    <w:embedRegular r:id="rId5" w:fontKey="{C40DE524-0B76-4E44-9358-444E3015C1CA}"/>
  </w:font>
  <w:font w:name="Wingdings">
    <w:panose1 w:val="05000000000000000000"/>
    <w:charset w:val="4D"/>
    <w:family w:val="decorative"/>
    <w:pitch w:val="variable"/>
    <w:sig w:usb0="00000003" w:usb1="00000000" w:usb2="00000000" w:usb3="00000000" w:csb0="80000001" w:csb1="00000000"/>
    <w:embedRegular r:id="rId6" w:fontKey="{E3457608-7EB5-6647-8867-AE7BB755772A}"/>
  </w:font>
  <w:font w:name="Noto Sans">
    <w:panose1 w:val="020B0502040504020204"/>
    <w:charset w:val="00"/>
    <w:family w:val="swiss"/>
    <w:pitch w:val="variable"/>
    <w:sig w:usb0="E00082FF" w:usb1="400078FF" w:usb2="00000021" w:usb3="00000000" w:csb0="0000019F" w:csb1="00000000"/>
    <w:embedRegular r:id="rId7" w:fontKey="{44A3574E-1BC1-E344-B14E-6B06D45D8CBA}"/>
  </w:font>
  <w:font w:name="Inter">
    <w:altName w:val="Calibri"/>
    <w:charset w:val="00"/>
    <w:family w:val="auto"/>
    <w:pitch w:val="default"/>
  </w:font>
  <w:font w:name="Lexend">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8" w:fontKey="{261CAC35-2AEF-5544-B745-E83CD1887D98}"/>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embedRegular r:id="rId9" w:fontKey="{8841FCB0-B89C-FF47-B247-901B9F144A7E}"/>
  </w:font>
  <w:font w:name="Tahoma">
    <w:panose1 w:val="020B0604030504040204"/>
    <w:charset w:val="00"/>
    <w:family w:val="swiss"/>
    <w:pitch w:val="variable"/>
    <w:sig w:usb0="E1002EFF" w:usb1="C000605B" w:usb2="00000029" w:usb3="00000000" w:csb0="000101FF" w:csb1="00000000"/>
    <w:embedRegular r:id="rId10" w:fontKey="{CDE8B932-2DE1-0744-9039-1189E67B47B5}"/>
  </w:font>
  <w:font w:name="Aptos">
    <w:panose1 w:val="020B0004020202020204"/>
    <w:charset w:val="00"/>
    <w:family w:val="swiss"/>
    <w:pitch w:val="variable"/>
    <w:sig w:usb0="20000287" w:usb1="00000003" w:usb2="00000000" w:usb3="00000000" w:csb0="0000019F" w:csb1="00000000"/>
    <w:embedRegular r:id="rId11" w:fontKey="{3AFAE838-2383-EA4B-B689-9E092702E468}"/>
  </w:font>
  <w:font w:name="Cambria">
    <w:panose1 w:val="02040503050406030204"/>
    <w:charset w:val="00"/>
    <w:family w:val="roman"/>
    <w:pitch w:val="variable"/>
    <w:sig w:usb0="E00002FF" w:usb1="400004FF" w:usb2="00000000" w:usb3="00000000" w:csb0="0000019F" w:csb1="00000000"/>
    <w:embedRegular r:id="rId12" w:fontKey="{5FEF360C-DD33-CB48-9A43-77CACCDBFC7A}"/>
  </w:font>
  <w:font w:name="Calibri">
    <w:panose1 w:val="020F0502020204030204"/>
    <w:charset w:val="00"/>
    <w:family w:val="swiss"/>
    <w:pitch w:val="variable"/>
    <w:sig w:usb0="E0002AFF" w:usb1="C000247B" w:usb2="00000009" w:usb3="00000000" w:csb0="000001FF" w:csb1="00000000"/>
    <w:embedRegular r:id="rId13" w:fontKey="{7D0109B9-4784-5842-85D6-8F2821B6B5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AC06" w14:textId="77777777" w:rsidR="0074030F" w:rsidRPr="00CE4209" w:rsidRDefault="00CE4209" w:rsidP="00CE4209">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sidR="00155435">
      <w:rPr>
        <w:rStyle w:val="PageNumber"/>
        <w:noProof/>
      </w:rPr>
      <w:t>1</w:t>
    </w:r>
    <w:r w:rsidRPr="00CE420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57D9" w14:textId="77777777" w:rsidR="00D7094D" w:rsidRDefault="00D7094D" w:rsidP="00D7094D">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Pr>
        <w:rStyle w:val="PageNumber"/>
      </w:rPr>
      <w:t>2</w:t>
    </w:r>
    <w:r w:rsidRPr="00CE420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9A945" w14:textId="77777777" w:rsidR="00385B5B" w:rsidRDefault="00385B5B" w:rsidP="00F04F4E">
      <w:pPr>
        <w:spacing w:after="0"/>
      </w:pPr>
      <w:r>
        <w:separator/>
      </w:r>
    </w:p>
  </w:footnote>
  <w:footnote w:type="continuationSeparator" w:id="0">
    <w:p w14:paraId="6B776951" w14:textId="77777777" w:rsidR="00385B5B" w:rsidRDefault="00385B5B" w:rsidP="00F04F4E">
      <w:pPr>
        <w:spacing w:after="0"/>
      </w:pPr>
      <w:r>
        <w:continuationSeparator/>
      </w:r>
    </w:p>
  </w:footnote>
  <w:footnote w:id="1">
    <w:p w14:paraId="155DF412" w14:textId="362D0BB3" w:rsidR="00BC2368" w:rsidRPr="009357FA" w:rsidRDefault="00BC2368" w:rsidP="006E5253">
      <w:pPr>
        <w:pBdr>
          <w:top w:val="nil"/>
          <w:left w:val="nil"/>
          <w:bottom w:val="nil"/>
          <w:right w:val="nil"/>
          <w:between w:val="nil"/>
        </w:pBdr>
        <w:spacing w:after="0" w:line="240" w:lineRule="auto"/>
        <w:rPr>
          <w:rFonts w:eastAsia="Cambria" w:cs="Calibri"/>
          <w:color w:val="000000"/>
          <w:sz w:val="16"/>
          <w:szCs w:val="16"/>
        </w:rPr>
      </w:pPr>
      <w:r w:rsidRPr="008B4135">
        <w:rPr>
          <w:rStyle w:val="FootnoteReference"/>
          <w:rFonts w:cs="Calibri"/>
          <w:color w:val="000000" w:themeColor="text1"/>
          <w:sz w:val="16"/>
          <w:szCs w:val="16"/>
        </w:rPr>
        <w:footnoteRef/>
      </w:r>
      <w:r w:rsidRPr="008B4135">
        <w:rPr>
          <w:rFonts w:eastAsia="Cambria" w:cs="Calibri"/>
          <w:color w:val="000000" w:themeColor="text1"/>
          <w:sz w:val="16"/>
          <w:szCs w:val="16"/>
        </w:rPr>
        <w:t xml:space="preserve"> </w:t>
      </w:r>
      <w:r w:rsidR="004A22FB" w:rsidRPr="004A22FB">
        <w:rPr>
          <w:rFonts w:eastAsia="Cambria" w:cs="Calibri"/>
          <w:sz w:val="16"/>
          <w:szCs w:val="16"/>
        </w:rPr>
        <w:t xml:space="preserve">The </w:t>
      </w:r>
      <w:r w:rsidR="00067601">
        <w:rPr>
          <w:rFonts w:eastAsia="Cambria" w:cs="Calibri"/>
          <w:sz w:val="16"/>
          <w:szCs w:val="16"/>
        </w:rPr>
        <w:t>Global Civil Society Coalition for the UNCAC’s</w:t>
      </w:r>
      <w:r w:rsidR="004A22FB" w:rsidRPr="004A22FB">
        <w:rPr>
          <w:rFonts w:eastAsia="Cambria" w:cs="Calibri"/>
          <w:sz w:val="16"/>
          <w:szCs w:val="16"/>
        </w:rPr>
        <w:t xml:space="preserve"> Working Group on Asset Recovery brings together more than 140 experts from civil society organisations, academia, and other relevant </w:t>
      </w:r>
      <w:r w:rsidR="006E5253">
        <w:rPr>
          <w:rFonts w:eastAsia="Cambria" w:cs="Calibri"/>
          <w:sz w:val="16"/>
          <w:szCs w:val="16"/>
        </w:rPr>
        <w:t>stakeholders</w:t>
      </w:r>
      <w:r w:rsidR="004A22FB" w:rsidRPr="004A22FB">
        <w:rPr>
          <w:rFonts w:eastAsia="Cambria" w:cs="Calibri"/>
          <w:sz w:val="16"/>
          <w:szCs w:val="16"/>
        </w:rPr>
        <w:t xml:space="preserve">. It serves as a space for discussion, knowledge exchange, and shared learning on asset recovery. The Working Group also helps coordinate advocacy efforts and supports the development of stronger international and regional laws and policies in the field. </w:t>
      </w:r>
      <w:r w:rsidRPr="009357FA">
        <w:rPr>
          <w:rFonts w:eastAsia="Cambria" w:cs="Calibri"/>
          <w:sz w:val="16"/>
          <w:szCs w:val="16"/>
        </w:rPr>
        <w:t>UNCAC Coalition. “</w:t>
      </w:r>
      <w:r w:rsidR="00C66984">
        <w:rPr>
          <w:rFonts w:eastAsia="Cambria" w:cs="Calibri"/>
          <w:sz w:val="16"/>
          <w:szCs w:val="16"/>
        </w:rPr>
        <w:t>Asset Recovery</w:t>
      </w:r>
      <w:r w:rsidRPr="009357FA">
        <w:rPr>
          <w:rFonts w:eastAsia="Cambria" w:cs="Calibri"/>
          <w:sz w:val="16"/>
          <w:szCs w:val="16"/>
        </w:rPr>
        <w:t xml:space="preserve"> Working Group.” UNCAC Coalition, accessed </w:t>
      </w:r>
      <w:r w:rsidR="002043B9">
        <w:rPr>
          <w:rFonts w:eastAsia="Cambria" w:cs="Calibri"/>
          <w:sz w:val="16"/>
          <w:szCs w:val="16"/>
        </w:rPr>
        <w:t xml:space="preserve">20 </w:t>
      </w:r>
      <w:r w:rsidRPr="009357FA">
        <w:rPr>
          <w:rFonts w:eastAsia="Cambria" w:cs="Calibri"/>
          <w:sz w:val="16"/>
          <w:szCs w:val="16"/>
        </w:rPr>
        <w:t xml:space="preserve">November 2025. </w:t>
      </w:r>
      <w:hyperlink r:id="rId1" w:history="1">
        <w:r w:rsidR="004A22FB" w:rsidRPr="00DE5B5B">
          <w:rPr>
            <w:rStyle w:val="Hyperlink"/>
            <w:rFonts w:eastAsia="Cambria" w:cs="Calibri"/>
            <w:sz w:val="16"/>
            <w:szCs w:val="16"/>
          </w:rPr>
          <w:t>https://uncaccoalition.org/get-involved/working-groups/asset-recovery/</w:t>
        </w:r>
      </w:hyperlink>
      <w:r w:rsidRPr="009357FA">
        <w:rPr>
          <w:rFonts w:eastAsia="Cambria" w:cs="Calibri"/>
          <w:sz w:val="16"/>
          <w:szCs w:val="16"/>
        </w:rPr>
        <w:t>.</w:t>
      </w:r>
    </w:p>
  </w:footnote>
  <w:footnote w:id="2">
    <w:p w14:paraId="2E69DB82" w14:textId="77777777" w:rsidR="00C66984" w:rsidRDefault="00C66984" w:rsidP="006E5253">
      <w:pPr>
        <w:spacing w:after="0" w:line="240" w:lineRule="auto"/>
        <w:jc w:val="both"/>
        <w:rPr>
          <w:rFonts w:ascii="Inter" w:eastAsia="Inter" w:hAnsi="Inter" w:cs="Inter"/>
          <w:sz w:val="16"/>
          <w:szCs w:val="16"/>
        </w:rPr>
      </w:pPr>
      <w:r>
        <w:rPr>
          <w:vertAlign w:val="superscript"/>
        </w:rPr>
        <w:footnoteRef/>
      </w:r>
      <w:r>
        <w:rPr>
          <w:rFonts w:ascii="Inter" w:eastAsia="Inter" w:hAnsi="Inter" w:cs="Inter"/>
          <w:sz w:val="18"/>
          <w:szCs w:val="18"/>
        </w:rPr>
        <w:t xml:space="preserve"> </w:t>
      </w:r>
      <w:r>
        <w:rPr>
          <w:rFonts w:ascii="Inter" w:eastAsia="Inter" w:hAnsi="Inter" w:cs="Inter"/>
          <w:sz w:val="16"/>
          <w:szCs w:val="16"/>
        </w:rPr>
        <w:t>See for instance paragraph 20 of General Assembly resolution 77/154 on promoting international cooperation against illicit financial flows and advancing good practices in asset return for sustainable development, as well as Conference of the States Parties resolutions 6/3, 8/9, and 9/2.</w:t>
      </w:r>
    </w:p>
  </w:footnote>
  <w:footnote w:id="3">
    <w:p w14:paraId="2E16E1D2" w14:textId="77777777" w:rsidR="00C66984" w:rsidRDefault="00C66984" w:rsidP="006E5253">
      <w:pPr>
        <w:spacing w:after="0" w:line="240" w:lineRule="auto"/>
        <w:jc w:val="both"/>
        <w:rPr>
          <w:rFonts w:ascii="Inter" w:eastAsia="Inter" w:hAnsi="Inter" w:cs="Inter"/>
          <w:sz w:val="16"/>
          <w:szCs w:val="16"/>
        </w:rPr>
      </w:pPr>
      <w:r>
        <w:rPr>
          <w:vertAlign w:val="superscript"/>
        </w:rPr>
        <w:footnoteRef/>
      </w:r>
      <w:r>
        <w:rPr>
          <w:sz w:val="18"/>
          <w:szCs w:val="18"/>
        </w:rPr>
        <w:t xml:space="preserve"> </w:t>
      </w:r>
      <w:r>
        <w:rPr>
          <w:rFonts w:ascii="Inter" w:eastAsia="Inter" w:hAnsi="Inter" w:cs="Inter"/>
          <w:sz w:val="16"/>
          <w:szCs w:val="16"/>
        </w:rPr>
        <w:t>Beyond voluntary commitments, States have legal obligations of transparency under various Articles of the United Nations Convention against Corruption (</w:t>
      </w:r>
      <w:r>
        <w:rPr>
          <w:rFonts w:ascii="Inter" w:eastAsia="Inter" w:hAnsi="Inter" w:cs="Inter"/>
          <w:i/>
          <w:iCs/>
          <w:sz w:val="16"/>
          <w:szCs w:val="16"/>
        </w:rPr>
        <w:t>e.g.,</w:t>
      </w:r>
      <w:r>
        <w:rPr>
          <w:rFonts w:ascii="Inter" w:eastAsia="Inter" w:hAnsi="Inter" w:cs="Inter"/>
          <w:sz w:val="16"/>
          <w:szCs w:val="16"/>
        </w:rPr>
        <w:t xml:space="preserve"> Articles 5 – </w:t>
      </w:r>
      <w:r>
        <w:rPr>
          <w:rFonts w:ascii="Inter" w:eastAsia="Inter" w:hAnsi="Inter" w:cs="Inter"/>
          <w:i/>
          <w:iCs/>
          <w:sz w:val="16"/>
          <w:szCs w:val="16"/>
        </w:rPr>
        <w:t>Preventive anti-corruption policies and practices</w:t>
      </w:r>
      <w:r>
        <w:rPr>
          <w:rFonts w:ascii="Inter" w:eastAsia="Inter" w:hAnsi="Inter" w:cs="Inter"/>
          <w:sz w:val="16"/>
          <w:szCs w:val="16"/>
        </w:rPr>
        <w:t xml:space="preserve">; 9 – </w:t>
      </w:r>
      <w:r>
        <w:rPr>
          <w:rFonts w:ascii="Inter" w:eastAsia="Inter" w:hAnsi="Inter" w:cs="Inter"/>
          <w:i/>
          <w:iCs/>
          <w:sz w:val="16"/>
          <w:szCs w:val="16"/>
        </w:rPr>
        <w:t xml:space="preserve">Public procurement and management of public </w:t>
      </w:r>
      <w:proofErr w:type="gramStart"/>
      <w:r>
        <w:rPr>
          <w:rFonts w:ascii="Inter" w:eastAsia="Inter" w:hAnsi="Inter" w:cs="Inter"/>
          <w:i/>
          <w:iCs/>
          <w:sz w:val="16"/>
          <w:szCs w:val="16"/>
        </w:rPr>
        <w:t>finances</w:t>
      </w:r>
      <w:r>
        <w:rPr>
          <w:rFonts w:ascii="Inter" w:eastAsia="Inter" w:hAnsi="Inter" w:cs="Inter"/>
          <w:sz w:val="16"/>
          <w:szCs w:val="16"/>
        </w:rPr>
        <w:t xml:space="preserve"> ;</w:t>
      </w:r>
      <w:proofErr w:type="gramEnd"/>
      <w:r>
        <w:rPr>
          <w:rFonts w:ascii="Inter" w:eastAsia="Inter" w:hAnsi="Inter" w:cs="Inter"/>
          <w:sz w:val="16"/>
          <w:szCs w:val="16"/>
        </w:rPr>
        <w:t xml:space="preserve"> 13 – </w:t>
      </w:r>
      <w:r>
        <w:rPr>
          <w:rFonts w:ascii="Inter" w:eastAsia="Inter" w:hAnsi="Inter" w:cs="Inter"/>
          <w:i/>
          <w:iCs/>
          <w:sz w:val="16"/>
          <w:szCs w:val="16"/>
        </w:rPr>
        <w:t xml:space="preserve">Participation of civil </w:t>
      </w:r>
      <w:proofErr w:type="gramStart"/>
      <w:r>
        <w:rPr>
          <w:rFonts w:ascii="Inter" w:eastAsia="Inter" w:hAnsi="Inter" w:cs="Inter"/>
          <w:i/>
          <w:iCs/>
          <w:sz w:val="16"/>
          <w:szCs w:val="16"/>
        </w:rPr>
        <w:t>society</w:t>
      </w:r>
      <w:r>
        <w:rPr>
          <w:rFonts w:ascii="Inter" w:eastAsia="Inter" w:hAnsi="Inter" w:cs="Inter"/>
          <w:sz w:val="16"/>
          <w:szCs w:val="16"/>
        </w:rPr>
        <w:t xml:space="preserve"> ;</w:t>
      </w:r>
      <w:proofErr w:type="gramEnd"/>
      <w:r>
        <w:rPr>
          <w:rFonts w:ascii="Inter" w:eastAsia="Inter" w:hAnsi="Inter" w:cs="Inter"/>
          <w:sz w:val="16"/>
          <w:szCs w:val="16"/>
        </w:rPr>
        <w:t xml:space="preserve"> etc.)</w:t>
      </w:r>
    </w:p>
  </w:footnote>
  <w:footnote w:id="4">
    <w:p w14:paraId="3EE1F5BA" w14:textId="77777777" w:rsidR="00C66984" w:rsidRDefault="00C66984" w:rsidP="006E5253">
      <w:pPr>
        <w:spacing w:after="0" w:line="240" w:lineRule="auto"/>
        <w:rPr>
          <w:rFonts w:ascii="Inter" w:eastAsia="Inter" w:hAnsi="Inter" w:cs="Inter"/>
          <w:sz w:val="16"/>
          <w:szCs w:val="16"/>
        </w:rPr>
      </w:pPr>
      <w:r>
        <w:rPr>
          <w:vertAlign w:val="superscript"/>
        </w:rPr>
        <w:footnoteRef/>
      </w:r>
      <w:r>
        <w:rPr>
          <w:rFonts w:ascii="Inter" w:eastAsia="Inter" w:hAnsi="Inter" w:cs="Inter"/>
          <w:sz w:val="16"/>
          <w:szCs w:val="16"/>
        </w:rPr>
        <w:t xml:space="preserve"> UNCAC Coalition. “Working Group on Asset Recovery”. Accessed 13 November 2025. </w:t>
      </w:r>
      <w:hyperlink r:id="rId2" w:history="1">
        <w:r>
          <w:rPr>
            <w:rFonts w:ascii="Inter" w:eastAsia="Inter" w:hAnsi="Inter" w:cs="Inter"/>
            <w:color w:val="1155CC"/>
            <w:sz w:val="16"/>
            <w:szCs w:val="16"/>
            <w:u w:val="single"/>
          </w:rPr>
          <w:t>https://uncaccoalition.org/get-involved/working-groups/asset-recovery/</w:t>
        </w:r>
      </w:hyperlink>
      <w:r>
        <w:rPr>
          <w:rFonts w:ascii="Inter" w:eastAsia="Inter" w:hAnsi="Inter" w:cs="Inter"/>
          <w:sz w:val="16"/>
          <w:szCs w:val="16"/>
        </w:rPr>
        <w:t xml:space="preserve"> </w:t>
      </w:r>
    </w:p>
  </w:footnote>
  <w:footnote w:id="5">
    <w:p w14:paraId="7D9CC280" w14:textId="77777777" w:rsidR="00C66984" w:rsidRDefault="00C66984" w:rsidP="006E5253">
      <w:pPr>
        <w:spacing w:after="0" w:line="240" w:lineRule="auto"/>
        <w:rPr>
          <w:rFonts w:ascii="Inter" w:eastAsia="Inter" w:hAnsi="Inter" w:cs="Inter"/>
          <w:sz w:val="16"/>
          <w:szCs w:val="16"/>
        </w:rPr>
      </w:pPr>
      <w:r>
        <w:rPr>
          <w:vertAlign w:val="superscript"/>
        </w:rPr>
        <w:footnoteRef/>
      </w:r>
      <w:r>
        <w:rPr>
          <w:rFonts w:ascii="Inter" w:eastAsia="Inter" w:hAnsi="Inter" w:cs="Inter"/>
          <w:sz w:val="16"/>
          <w:szCs w:val="16"/>
        </w:rPr>
        <w:t xml:space="preserve"> </w:t>
      </w:r>
      <w:proofErr w:type="spellStart"/>
      <w:r>
        <w:rPr>
          <w:rFonts w:ascii="Inter" w:eastAsia="Inter" w:hAnsi="Inter" w:cs="Inter"/>
          <w:sz w:val="16"/>
          <w:szCs w:val="16"/>
        </w:rPr>
        <w:t>CiFAR</w:t>
      </w:r>
      <w:proofErr w:type="spellEnd"/>
      <w:r>
        <w:rPr>
          <w:rFonts w:ascii="Inter" w:eastAsia="Inter" w:hAnsi="Inter" w:cs="Inter"/>
          <w:sz w:val="16"/>
          <w:szCs w:val="16"/>
        </w:rPr>
        <w:t>. “</w:t>
      </w:r>
      <w:proofErr w:type="spellStart"/>
      <w:r>
        <w:rPr>
          <w:rFonts w:ascii="Inter" w:eastAsia="Inter" w:hAnsi="Inter" w:cs="Inter"/>
          <w:sz w:val="16"/>
          <w:szCs w:val="16"/>
        </w:rPr>
        <w:t>CiFAR</w:t>
      </w:r>
      <w:proofErr w:type="spellEnd"/>
      <w:r>
        <w:rPr>
          <w:rFonts w:ascii="Inter" w:eastAsia="Inter" w:hAnsi="Inter" w:cs="Inter"/>
          <w:sz w:val="16"/>
          <w:szCs w:val="16"/>
        </w:rPr>
        <w:t xml:space="preserve">”. Accessed 13 November 2025. </w:t>
      </w:r>
      <w:hyperlink r:id="rId3" w:history="1">
        <w:r>
          <w:rPr>
            <w:rFonts w:ascii="Inter" w:eastAsia="Inter" w:hAnsi="Inter" w:cs="Inter"/>
            <w:color w:val="1155CC"/>
            <w:sz w:val="16"/>
            <w:szCs w:val="16"/>
            <w:u w:val="single"/>
          </w:rPr>
          <w:t>https://cifar.eu/</w:t>
        </w:r>
      </w:hyperlink>
      <w:r>
        <w:rPr>
          <w:rFonts w:ascii="Inter" w:eastAsia="Inter" w:hAnsi="Inter" w:cs="Inter"/>
          <w:sz w:val="16"/>
          <w:szCs w:val="16"/>
        </w:rPr>
        <w:t xml:space="preserve"> </w:t>
      </w:r>
    </w:p>
  </w:footnote>
  <w:footnote w:id="6">
    <w:p w14:paraId="01DE91DA" w14:textId="77777777" w:rsidR="00C66984" w:rsidRDefault="00C66984" w:rsidP="006E5253">
      <w:pPr>
        <w:spacing w:after="0" w:line="240" w:lineRule="auto"/>
        <w:rPr>
          <w:rFonts w:ascii="Inter" w:eastAsia="Inter" w:hAnsi="Inter" w:cs="Inter"/>
          <w:sz w:val="16"/>
          <w:szCs w:val="16"/>
        </w:rPr>
      </w:pPr>
      <w:r>
        <w:rPr>
          <w:vertAlign w:val="superscript"/>
        </w:rPr>
        <w:footnoteRef/>
      </w:r>
      <w:r>
        <w:rPr>
          <w:rFonts w:ascii="Inter" w:eastAsia="Inter" w:hAnsi="Inter" w:cs="Inter"/>
          <w:sz w:val="16"/>
          <w:szCs w:val="16"/>
        </w:rPr>
        <w:t xml:space="preserve"> Transparency International France. “Transparency International France”. Accessed 13 November 2025. ​​</w:t>
      </w:r>
      <w:hyperlink r:id="rId4" w:history="1">
        <w:r>
          <w:rPr>
            <w:rFonts w:ascii="Inter" w:eastAsia="Inter" w:hAnsi="Inter" w:cs="Inter"/>
            <w:color w:val="1155CC"/>
            <w:sz w:val="16"/>
            <w:szCs w:val="16"/>
            <w:u w:val="single"/>
          </w:rPr>
          <w:t>https://transparency-france.org/</w:t>
        </w:r>
      </w:hyperlink>
      <w:r>
        <w:rPr>
          <w:rFonts w:ascii="Inter" w:eastAsia="Inter" w:hAnsi="Inter" w:cs="Inter"/>
          <w:sz w:val="16"/>
          <w:szCs w:val="16"/>
        </w:rPr>
        <w:t xml:space="preserve"> </w:t>
      </w:r>
    </w:p>
  </w:footnote>
  <w:footnote w:id="7">
    <w:p w14:paraId="528E1A82" w14:textId="2346D791" w:rsidR="00C66984" w:rsidRDefault="00C66984" w:rsidP="006E5253">
      <w:pPr>
        <w:spacing w:after="0" w:line="240" w:lineRule="auto"/>
        <w:rPr>
          <w:rFonts w:ascii="Inter" w:eastAsia="Inter" w:hAnsi="Inter" w:cs="Inter"/>
          <w:sz w:val="16"/>
          <w:szCs w:val="16"/>
        </w:rPr>
      </w:pPr>
      <w:r>
        <w:rPr>
          <w:vertAlign w:val="superscript"/>
        </w:rPr>
        <w:footnoteRef/>
      </w:r>
      <w:r w:rsidRPr="0064600C">
        <w:rPr>
          <w:szCs w:val="20"/>
        </w:rPr>
        <w:t xml:space="preserve"> </w:t>
      </w:r>
      <w:r>
        <w:rPr>
          <w:rFonts w:ascii="Inter" w:eastAsia="Inter" w:hAnsi="Inter" w:cs="Inter"/>
          <w:sz w:val="16"/>
          <w:szCs w:val="16"/>
        </w:rPr>
        <w:t>UNCAC Coalition Asset Recovery Working Group. “Information and Data Availability in Asset Recovery”, UNCAC Coalition, 2025.</w:t>
      </w:r>
      <w:r w:rsidR="006E5253">
        <w:rPr>
          <w:rFonts w:ascii="Inter" w:eastAsia="Inter" w:hAnsi="Inter" w:cs="Inter"/>
          <w:sz w:val="16"/>
          <w:szCs w:val="16"/>
        </w:rPr>
        <w:t xml:space="preserve"> </w:t>
      </w:r>
      <w:hyperlink r:id="rId5" w:history="1">
        <w:r w:rsidR="006E5253" w:rsidRPr="006E5253">
          <w:rPr>
            <w:color w:val="1155CC"/>
            <w:sz w:val="16"/>
            <w:szCs w:val="16"/>
            <w:u w:val="single"/>
          </w:rPr>
          <w:t>https://uncaccoalition.org/information-and-data-availability-in-asset-recovery/</w:t>
        </w:r>
      </w:hyperlink>
      <w:r w:rsidR="006E5253">
        <w:rPr>
          <w:rFonts w:ascii="Inter" w:eastAsia="Inter" w:hAnsi="Inter" w:cs="Inter"/>
          <w:sz w:val="16"/>
          <w:szCs w:val="16"/>
        </w:rPr>
        <w:t xml:space="preserve"> </w:t>
      </w:r>
    </w:p>
  </w:footnote>
  <w:footnote w:id="8">
    <w:p w14:paraId="309BBD8E" w14:textId="77777777" w:rsidR="00C66984" w:rsidRDefault="00C66984" w:rsidP="006E5253">
      <w:pPr>
        <w:spacing w:after="0" w:line="240" w:lineRule="auto"/>
        <w:rPr>
          <w:rFonts w:ascii="Inter" w:eastAsia="Inter" w:hAnsi="Inter" w:cs="Inter"/>
          <w:sz w:val="16"/>
          <w:szCs w:val="16"/>
        </w:rPr>
      </w:pPr>
      <w:r>
        <w:rPr>
          <w:vertAlign w:val="superscript"/>
        </w:rPr>
        <w:footnoteRef/>
      </w:r>
      <w:r w:rsidRPr="0064600C">
        <w:rPr>
          <w:szCs w:val="20"/>
        </w:rPr>
        <w:t xml:space="preserve"> </w:t>
      </w:r>
      <w:r>
        <w:rPr>
          <w:rFonts w:ascii="Inter" w:eastAsia="Inter" w:hAnsi="Inter" w:cs="Inter"/>
          <w:sz w:val="16"/>
          <w:szCs w:val="16"/>
        </w:rPr>
        <w:t>Stolen Asset Recovery Initiative (</w:t>
      </w:r>
      <w:proofErr w:type="spellStart"/>
      <w:r>
        <w:rPr>
          <w:rFonts w:ascii="Inter" w:eastAsia="Inter" w:hAnsi="Inter" w:cs="Inter"/>
          <w:sz w:val="16"/>
          <w:szCs w:val="16"/>
        </w:rPr>
        <w:t>StAR</w:t>
      </w:r>
      <w:proofErr w:type="spellEnd"/>
      <w:r>
        <w:rPr>
          <w:rFonts w:ascii="Inter" w:eastAsia="Inter" w:hAnsi="Inter" w:cs="Inter"/>
          <w:sz w:val="16"/>
          <w:szCs w:val="16"/>
        </w:rPr>
        <w:t xml:space="preserve">). “Guide to the </w:t>
      </w:r>
      <w:proofErr w:type="spellStart"/>
      <w:r>
        <w:rPr>
          <w:rFonts w:ascii="Inter" w:eastAsia="Inter" w:hAnsi="Inter" w:cs="Inter"/>
          <w:sz w:val="16"/>
          <w:szCs w:val="16"/>
        </w:rPr>
        <w:t>StAR</w:t>
      </w:r>
      <w:proofErr w:type="spellEnd"/>
      <w:r>
        <w:rPr>
          <w:rFonts w:ascii="Inter" w:eastAsia="Inter" w:hAnsi="Inter" w:cs="Inter"/>
          <w:sz w:val="16"/>
          <w:szCs w:val="16"/>
        </w:rPr>
        <w:t xml:space="preserve"> Asset Recovery Watch Database”. Accessed 13 November 2025. </w:t>
      </w:r>
      <w:hyperlink r:id="rId6" w:history="1">
        <w:r>
          <w:rPr>
            <w:rFonts w:ascii="Inter" w:eastAsia="Inter" w:hAnsi="Inter" w:cs="Inter"/>
            <w:color w:val="1155CC"/>
            <w:sz w:val="16"/>
            <w:szCs w:val="16"/>
            <w:u w:val="single"/>
          </w:rPr>
          <w:t>https://star.worldbank.org/guide-star-asset-recovery-watch-database</w:t>
        </w:r>
      </w:hyperlink>
      <w:r>
        <w:rPr>
          <w:rFonts w:ascii="Inter" w:eastAsia="Inter" w:hAnsi="Inter" w:cs="Inter"/>
          <w:sz w:val="16"/>
          <w:szCs w:val="16"/>
        </w:rPr>
        <w:t xml:space="preserve"> </w:t>
      </w:r>
    </w:p>
  </w:footnote>
  <w:footnote w:id="9">
    <w:p w14:paraId="61C3B046" w14:textId="77777777" w:rsidR="00C66984" w:rsidRDefault="00C66984" w:rsidP="006E5253">
      <w:pPr>
        <w:spacing w:after="0" w:line="240" w:lineRule="auto"/>
        <w:rPr>
          <w:rFonts w:ascii="Inter" w:eastAsia="Inter" w:hAnsi="Inter" w:cs="Inter"/>
          <w:sz w:val="16"/>
          <w:szCs w:val="16"/>
        </w:rPr>
      </w:pPr>
      <w:r>
        <w:rPr>
          <w:vertAlign w:val="superscript"/>
        </w:rPr>
        <w:footnoteRef/>
      </w:r>
      <w:r w:rsidRPr="0064600C">
        <w:rPr>
          <w:szCs w:val="20"/>
        </w:rPr>
        <w:t xml:space="preserve"> </w:t>
      </w:r>
      <w:r>
        <w:rPr>
          <w:rFonts w:ascii="Inter" w:eastAsia="Inter" w:hAnsi="Inter" w:cs="Inter"/>
          <w:sz w:val="16"/>
          <w:szCs w:val="16"/>
        </w:rPr>
        <w:t>Stolen Asset Recovery Initiative (</w:t>
      </w:r>
      <w:proofErr w:type="spellStart"/>
      <w:r>
        <w:rPr>
          <w:rFonts w:ascii="Inter" w:eastAsia="Inter" w:hAnsi="Inter" w:cs="Inter"/>
          <w:sz w:val="16"/>
          <w:szCs w:val="16"/>
        </w:rPr>
        <w:t>StAR</w:t>
      </w:r>
      <w:proofErr w:type="spellEnd"/>
      <w:r>
        <w:rPr>
          <w:rFonts w:ascii="Inter" w:eastAsia="Inter" w:hAnsi="Inter" w:cs="Inter"/>
          <w:sz w:val="16"/>
          <w:szCs w:val="16"/>
        </w:rPr>
        <w:t>). “</w:t>
      </w:r>
      <w:proofErr w:type="spellStart"/>
      <w:r>
        <w:rPr>
          <w:rFonts w:ascii="Inter" w:eastAsia="Inter" w:hAnsi="Inter" w:cs="Inter"/>
          <w:sz w:val="16"/>
          <w:szCs w:val="16"/>
        </w:rPr>
        <w:t>StAR</w:t>
      </w:r>
      <w:proofErr w:type="spellEnd"/>
      <w:r>
        <w:rPr>
          <w:rFonts w:ascii="Inter" w:eastAsia="Inter" w:hAnsi="Inter" w:cs="Inter"/>
          <w:sz w:val="16"/>
          <w:szCs w:val="16"/>
        </w:rPr>
        <w:t xml:space="preserve"> Asset Recovery Watch Database”. Accessed 13 November 2025. </w:t>
      </w:r>
      <w:hyperlink r:id="rId7" w:history="1">
        <w:r>
          <w:rPr>
            <w:rFonts w:ascii="Inter" w:eastAsia="Inter" w:hAnsi="Inter" w:cs="Inter"/>
            <w:color w:val="1155CC"/>
            <w:sz w:val="16"/>
            <w:szCs w:val="16"/>
            <w:u w:val="single"/>
          </w:rPr>
          <w:t>https://star.worldbank.org/asset-recovery-watch-database</w:t>
        </w:r>
      </w:hyperlink>
      <w:r>
        <w:rPr>
          <w:rFonts w:ascii="Inter" w:eastAsia="Inter" w:hAnsi="Inter" w:cs="Inte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E2D" w14:textId="3AF0821B" w:rsidR="00D7094D" w:rsidRDefault="00000000">
    <w:pPr>
      <w:pStyle w:val="Header"/>
    </w:pPr>
    <w:sdt>
      <w:sdtPr>
        <w:alias w:val="Title"/>
        <w:tag w:val=""/>
        <w:id w:val="-1611743474"/>
        <w:dataBinding w:prefixMappings="xmlns:ns0='http://purl.org/dc/elements/1.1/' xmlns:ns1='http://schemas.openxmlformats.org/package/2006/metadata/core-properties' " w:xpath="/ns1:coreProperties[1]/ns0:title[1]" w:storeItemID="{6C3C8BC8-F283-45AE-878A-BAB7291924A1}"/>
        <w:text/>
      </w:sdtPr>
      <w:sdtContent>
        <w:r w:rsidR="00EB3F8E">
          <w:t>Transparency in Asset Recovery</w:t>
        </w:r>
      </w:sdtContent>
    </w:sdt>
    <w:r w:rsidR="00D7094D">
      <w:t xml:space="preserve"> · UNCAC Coalition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13BC4" w14:textId="77777777" w:rsidR="00B155B7" w:rsidRDefault="00B155B7" w:rsidP="00D7094D"/>
  <w:p w14:paraId="7DD39106" w14:textId="26CD8D2B" w:rsidR="00BC2368" w:rsidRDefault="00EB3F8E" w:rsidP="00D7094D">
    <w:r>
      <w:rPr>
        <w:noProof/>
      </w:rPr>
      <w:drawing>
        <wp:inline distT="114300" distB="114300" distL="114300" distR="114300" wp14:anchorId="67B7998F" wp14:editId="168CEA44">
          <wp:extent cx="1904162" cy="721895"/>
          <wp:effectExtent l="0" t="0" r="1270" b="2540"/>
          <wp:docPr id="1" name="image1.png" descr="A black background with colorful tex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black background with colorful text&#10;&#10;AI-generated content may be incorrect."/>
                  <pic:cNvPicPr preferRelativeResize="0"/>
                </pic:nvPicPr>
                <pic:blipFill>
                  <a:blip r:embed="rId1"/>
                  <a:srcRect/>
                  <a:stretch>
                    <a:fillRect/>
                  </a:stretch>
                </pic:blipFill>
                <pic:spPr>
                  <a:xfrm>
                    <a:off x="0" y="0"/>
                    <a:ext cx="1959118" cy="742729"/>
                  </a:xfrm>
                  <a:prstGeom prst="rect">
                    <a:avLst/>
                  </a:prstGeom>
                  <a:ln/>
                </pic:spPr>
              </pic:pic>
            </a:graphicData>
          </a:graphic>
        </wp:inline>
      </w:drawing>
    </w:r>
  </w:p>
  <w:p w14:paraId="459606D2" w14:textId="77777777" w:rsidR="00BC2368" w:rsidRDefault="00BC2368" w:rsidP="00D70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C65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52F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4CE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4E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4A2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524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0AB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70C7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30E3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C48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C1C50"/>
    <w:multiLevelType w:val="multilevel"/>
    <w:tmpl w:val="9A16A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520530"/>
    <w:multiLevelType w:val="hybridMultilevel"/>
    <w:tmpl w:val="54F6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33F3F"/>
    <w:multiLevelType w:val="multilevel"/>
    <w:tmpl w:val="CF14D2EC"/>
    <w:numStyleLink w:val="UnorderedList"/>
  </w:abstractNum>
  <w:abstractNum w:abstractNumId="13" w15:restartNumberingAfterBreak="0">
    <w:nsid w:val="143E5593"/>
    <w:multiLevelType w:val="multilevel"/>
    <w:tmpl w:val="7D3A9DA2"/>
    <w:lvl w:ilvl="0">
      <w:start w:val="1"/>
      <w:numFmt w:val="bullet"/>
      <w:pStyle w:val="ListBullet"/>
      <w:lvlText w:val=""/>
      <w:lvlJc w:val="left"/>
      <w:pPr>
        <w:ind w:left="340" w:hanging="340"/>
      </w:pPr>
      <w:rPr>
        <w:rFonts w:ascii="Symbol" w:hAnsi="Symbol" w:hint="default"/>
      </w:rPr>
    </w:lvl>
    <w:lvl w:ilvl="1">
      <w:start w:val="1"/>
      <w:numFmt w:val="bullet"/>
      <w:pStyle w:val="ListBullet2"/>
      <w:lvlText w:val="o"/>
      <w:lvlJc w:val="left"/>
      <w:pPr>
        <w:ind w:left="907" w:hanging="340"/>
      </w:pPr>
      <w:rPr>
        <w:rFonts w:ascii="Courier New" w:hAnsi="Courier New" w:cs="Courier New" w:hint="default"/>
      </w:rPr>
    </w:lvl>
    <w:lvl w:ilvl="2">
      <w:start w:val="1"/>
      <w:numFmt w:val="bullet"/>
      <w:pStyle w:val="ListBullet3"/>
      <w:lvlText w:val=""/>
      <w:lvlJc w:val="left"/>
      <w:pPr>
        <w:ind w:left="1474" w:hanging="340"/>
      </w:pPr>
      <w:rPr>
        <w:rFonts w:ascii="Wingdings" w:hAnsi="Wingdings" w:hint="default"/>
      </w:rPr>
    </w:lvl>
    <w:lvl w:ilvl="3">
      <w:start w:val="1"/>
      <w:numFmt w:val="bullet"/>
      <w:pStyle w:val="ListBullet4"/>
      <w:lvlText w:val=""/>
      <w:lvlJc w:val="left"/>
      <w:pPr>
        <w:ind w:left="2041" w:hanging="340"/>
      </w:pPr>
      <w:rPr>
        <w:rFonts w:ascii="Symbol" w:hAnsi="Symbol" w:hint="default"/>
      </w:rPr>
    </w:lvl>
    <w:lvl w:ilvl="4">
      <w:start w:val="1"/>
      <w:numFmt w:val="bullet"/>
      <w:pStyle w:val="ListBullet5"/>
      <w:lvlText w:val="o"/>
      <w:lvlJc w:val="left"/>
      <w:pPr>
        <w:ind w:left="2608" w:hanging="340"/>
      </w:pPr>
      <w:rPr>
        <w:rFonts w:ascii="Courier New" w:hAnsi="Courier New" w:cs="Courier New" w:hint="default"/>
      </w:rPr>
    </w:lvl>
    <w:lvl w:ilvl="5">
      <w:start w:val="1"/>
      <w:numFmt w:val="bullet"/>
      <w:lvlText w:val=""/>
      <w:lvlJc w:val="left"/>
      <w:pPr>
        <w:ind w:left="3175" w:hanging="340"/>
      </w:pPr>
      <w:rPr>
        <w:rFonts w:ascii="Wingdings" w:hAnsi="Wingdings" w:hint="default"/>
      </w:rPr>
    </w:lvl>
    <w:lvl w:ilvl="6">
      <w:start w:val="1"/>
      <w:numFmt w:val="bullet"/>
      <w:lvlText w:val=""/>
      <w:lvlJc w:val="left"/>
      <w:pPr>
        <w:ind w:left="3742" w:hanging="340"/>
      </w:pPr>
      <w:rPr>
        <w:rFonts w:ascii="Symbol" w:hAnsi="Symbol" w:hint="default"/>
      </w:rPr>
    </w:lvl>
    <w:lvl w:ilvl="7">
      <w:start w:val="1"/>
      <w:numFmt w:val="bullet"/>
      <w:lvlText w:val="o"/>
      <w:lvlJc w:val="left"/>
      <w:pPr>
        <w:ind w:left="4309" w:hanging="340"/>
      </w:pPr>
      <w:rPr>
        <w:rFonts w:ascii="Courier New" w:hAnsi="Courier New" w:cs="Courier New" w:hint="default"/>
      </w:rPr>
    </w:lvl>
    <w:lvl w:ilvl="8">
      <w:start w:val="1"/>
      <w:numFmt w:val="bullet"/>
      <w:lvlText w:val=""/>
      <w:lvlJc w:val="left"/>
      <w:pPr>
        <w:ind w:left="4876" w:hanging="340"/>
      </w:pPr>
      <w:rPr>
        <w:rFonts w:ascii="Wingdings" w:hAnsi="Wingdings" w:hint="default"/>
      </w:rPr>
    </w:lvl>
  </w:abstractNum>
  <w:abstractNum w:abstractNumId="14" w15:restartNumberingAfterBreak="0">
    <w:nsid w:val="155344EF"/>
    <w:multiLevelType w:val="multilevel"/>
    <w:tmpl w:val="B920A6A8"/>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15" w15:restartNumberingAfterBreak="0">
    <w:nsid w:val="15742AD9"/>
    <w:multiLevelType w:val="multilevel"/>
    <w:tmpl w:val="CF14D2EC"/>
    <w:numStyleLink w:val="UnorderedList"/>
  </w:abstractNum>
  <w:abstractNum w:abstractNumId="16" w15:restartNumberingAfterBreak="0">
    <w:nsid w:val="16EE537E"/>
    <w:multiLevelType w:val="multilevel"/>
    <w:tmpl w:val="BA109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DC3B1D"/>
    <w:multiLevelType w:val="multilevel"/>
    <w:tmpl w:val="B920A6A8"/>
    <w:lvl w:ilvl="0">
      <w:start w:val="1"/>
      <w:numFmt w:val="decimal"/>
      <w:pStyle w:val="ListNumber"/>
      <w:lvlText w:val="%1."/>
      <w:lvlJc w:val="left"/>
      <w:pPr>
        <w:ind w:left="567" w:hanging="340"/>
      </w:pPr>
      <w:rPr>
        <w:rFonts w:hint="default"/>
      </w:rPr>
    </w:lvl>
    <w:lvl w:ilvl="1">
      <w:start w:val="1"/>
      <w:numFmt w:val="lowerLetter"/>
      <w:pStyle w:val="ListNumber2"/>
      <w:lvlText w:val="%2."/>
      <w:lvlJc w:val="left"/>
      <w:pPr>
        <w:ind w:left="1134" w:hanging="340"/>
      </w:pPr>
      <w:rPr>
        <w:rFonts w:hint="default"/>
      </w:rPr>
    </w:lvl>
    <w:lvl w:ilvl="2">
      <w:start w:val="1"/>
      <w:numFmt w:val="lowerRoman"/>
      <w:pStyle w:val="ListNumber3"/>
      <w:lvlText w:val="%3."/>
      <w:lvlJc w:val="left"/>
      <w:pPr>
        <w:ind w:left="1701" w:hanging="340"/>
      </w:pPr>
      <w:rPr>
        <w:rFonts w:hint="default"/>
      </w:rPr>
    </w:lvl>
    <w:lvl w:ilvl="3">
      <w:start w:val="1"/>
      <w:numFmt w:val="decimal"/>
      <w:pStyle w:val="ListNumber4"/>
      <w:lvlText w:val="%4."/>
      <w:lvlJc w:val="left"/>
      <w:pPr>
        <w:ind w:left="2268" w:hanging="340"/>
      </w:pPr>
      <w:rPr>
        <w:rFonts w:hint="default"/>
      </w:rPr>
    </w:lvl>
    <w:lvl w:ilvl="4">
      <w:start w:val="1"/>
      <w:numFmt w:val="lowerLetter"/>
      <w:pStyle w:val="ListNumber5"/>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18" w15:restartNumberingAfterBreak="0">
    <w:nsid w:val="22391165"/>
    <w:multiLevelType w:val="hybridMultilevel"/>
    <w:tmpl w:val="1194A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AE2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6F07302"/>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98613A"/>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C852241"/>
    <w:multiLevelType w:val="multilevel"/>
    <w:tmpl w:val="9B7C8FD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31EC6563"/>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59B4393"/>
    <w:multiLevelType w:val="hybridMultilevel"/>
    <w:tmpl w:val="259AE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BE7E87"/>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26" w15:restartNumberingAfterBreak="0">
    <w:nsid w:val="383C2101"/>
    <w:multiLevelType w:val="multilevel"/>
    <w:tmpl w:val="CF14D2EC"/>
    <w:numStyleLink w:val="UnorderedList"/>
  </w:abstractNum>
  <w:abstractNum w:abstractNumId="27" w15:restartNumberingAfterBreak="0">
    <w:nsid w:val="387D5039"/>
    <w:multiLevelType w:val="multilevel"/>
    <w:tmpl w:val="CF14D2EC"/>
    <w:styleLink w:val="UnorderedList"/>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28" w15:restartNumberingAfterBreak="0">
    <w:nsid w:val="3B4F7BF7"/>
    <w:multiLevelType w:val="multilevel"/>
    <w:tmpl w:val="86829178"/>
    <w:styleLink w:val="OrderedList"/>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29" w15:restartNumberingAfterBreak="0">
    <w:nsid w:val="4514415F"/>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0" w15:restartNumberingAfterBreak="0">
    <w:nsid w:val="4A2958EF"/>
    <w:multiLevelType w:val="multilevel"/>
    <w:tmpl w:val="CF14D2EC"/>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31" w15:restartNumberingAfterBreak="0">
    <w:nsid w:val="4A653A05"/>
    <w:multiLevelType w:val="multilevel"/>
    <w:tmpl w:val="465217D4"/>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32" w15:restartNumberingAfterBreak="0">
    <w:nsid w:val="502F6218"/>
    <w:multiLevelType w:val="multilevel"/>
    <w:tmpl w:val="CF14D2EC"/>
    <w:numStyleLink w:val="UnorderedList"/>
  </w:abstractNum>
  <w:abstractNum w:abstractNumId="33" w15:restartNumberingAfterBreak="0">
    <w:nsid w:val="613A3F18"/>
    <w:multiLevelType w:val="multilevel"/>
    <w:tmpl w:val="C2BAE3D2"/>
    <w:lvl w:ilvl="0">
      <w:start w:val="1"/>
      <w:numFmt w:val="bullet"/>
      <w:lvlText w:val=""/>
      <w:lvlJc w:val="left"/>
      <w:pPr>
        <w:ind w:left="567" w:hanging="340"/>
      </w:pPr>
      <w:rPr>
        <w:rFonts w:ascii="Symbol" w:hAnsi="Symbol" w:hint="default"/>
      </w:rPr>
    </w:lvl>
    <w:lvl w:ilvl="1">
      <w:start w:val="1"/>
      <w:numFmt w:val="bullet"/>
      <w:lvlText w:val="o"/>
      <w:lvlJc w:val="left"/>
      <w:pPr>
        <w:ind w:left="1134" w:hanging="340"/>
      </w:pPr>
      <w:rPr>
        <w:rFonts w:ascii="Courier New" w:hAnsi="Courier New" w:cs="Courier New" w:hint="default"/>
      </w:rPr>
    </w:lvl>
    <w:lvl w:ilvl="2">
      <w:start w:val="1"/>
      <w:numFmt w:val="bullet"/>
      <w:lvlText w:val=""/>
      <w:lvlJc w:val="left"/>
      <w:pPr>
        <w:ind w:left="1701" w:hanging="340"/>
      </w:pPr>
      <w:rPr>
        <w:rFonts w:ascii="Wingdings" w:hAnsi="Wingdings" w:hint="default"/>
      </w:rPr>
    </w:lvl>
    <w:lvl w:ilvl="3">
      <w:start w:val="1"/>
      <w:numFmt w:val="bullet"/>
      <w:lvlText w:val=""/>
      <w:lvlJc w:val="left"/>
      <w:pPr>
        <w:ind w:left="2268" w:hanging="340"/>
      </w:pPr>
      <w:rPr>
        <w:rFonts w:ascii="Symbol" w:hAnsi="Symbol" w:hint="default"/>
      </w:rPr>
    </w:lvl>
    <w:lvl w:ilvl="4">
      <w:start w:val="1"/>
      <w:numFmt w:val="bullet"/>
      <w:lvlText w:val="o"/>
      <w:lvlJc w:val="left"/>
      <w:pPr>
        <w:ind w:left="2835" w:hanging="340"/>
      </w:pPr>
      <w:rPr>
        <w:rFonts w:ascii="Courier New" w:hAnsi="Courier New" w:cs="Courier New" w:hint="default"/>
      </w:rPr>
    </w:lvl>
    <w:lvl w:ilvl="5">
      <w:start w:val="1"/>
      <w:numFmt w:val="bullet"/>
      <w:lvlText w:val=""/>
      <w:lvlJc w:val="left"/>
      <w:pPr>
        <w:ind w:left="3402" w:hanging="340"/>
      </w:pPr>
      <w:rPr>
        <w:rFonts w:ascii="Wingdings" w:hAnsi="Wingdings" w:hint="default"/>
      </w:rPr>
    </w:lvl>
    <w:lvl w:ilvl="6">
      <w:start w:val="1"/>
      <w:numFmt w:val="bullet"/>
      <w:lvlText w:val=""/>
      <w:lvlJc w:val="left"/>
      <w:pPr>
        <w:ind w:left="3969" w:hanging="340"/>
      </w:pPr>
      <w:rPr>
        <w:rFonts w:ascii="Symbol" w:hAnsi="Symbol" w:hint="default"/>
      </w:rPr>
    </w:lvl>
    <w:lvl w:ilvl="7">
      <w:start w:val="1"/>
      <w:numFmt w:val="bullet"/>
      <w:lvlText w:val="o"/>
      <w:lvlJc w:val="left"/>
      <w:pPr>
        <w:ind w:left="4536" w:hanging="340"/>
      </w:pPr>
      <w:rPr>
        <w:rFonts w:ascii="Courier New" w:hAnsi="Courier New" w:cs="Courier New" w:hint="default"/>
      </w:rPr>
    </w:lvl>
    <w:lvl w:ilvl="8">
      <w:start w:val="1"/>
      <w:numFmt w:val="bullet"/>
      <w:lvlText w:val=""/>
      <w:lvlJc w:val="left"/>
      <w:pPr>
        <w:ind w:left="5103" w:hanging="340"/>
      </w:pPr>
      <w:rPr>
        <w:rFonts w:ascii="Wingdings" w:hAnsi="Wingdings" w:hint="default"/>
      </w:rPr>
    </w:lvl>
  </w:abstractNum>
  <w:abstractNum w:abstractNumId="34" w15:restartNumberingAfterBreak="0">
    <w:nsid w:val="65EF5EF1"/>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64D757A"/>
    <w:multiLevelType w:val="hybridMultilevel"/>
    <w:tmpl w:val="94A87580"/>
    <w:lvl w:ilvl="0" w:tplc="7EF87032">
      <w:start w:val="1"/>
      <w:numFmt w:val="bullet"/>
      <w:lvlText w:val=""/>
      <w:lvlJc w:val="left"/>
      <w:pPr>
        <w:ind w:left="5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75337862"/>
    <w:multiLevelType w:val="multilevel"/>
    <w:tmpl w:val="86829178"/>
    <w:numStyleLink w:val="OrderedList"/>
  </w:abstractNum>
  <w:abstractNum w:abstractNumId="37" w15:restartNumberingAfterBreak="0">
    <w:nsid w:val="77B953C3"/>
    <w:multiLevelType w:val="hybridMultilevel"/>
    <w:tmpl w:val="3EF837A2"/>
    <w:lvl w:ilvl="0" w:tplc="5F2CA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FD746F"/>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012672">
    <w:abstractNumId w:val="9"/>
  </w:num>
  <w:num w:numId="2" w16cid:durableId="1807430742">
    <w:abstractNumId w:val="7"/>
  </w:num>
  <w:num w:numId="3" w16cid:durableId="952129819">
    <w:abstractNumId w:val="6"/>
  </w:num>
  <w:num w:numId="4" w16cid:durableId="1567062258">
    <w:abstractNumId w:val="5"/>
  </w:num>
  <w:num w:numId="5" w16cid:durableId="628165751">
    <w:abstractNumId w:val="4"/>
  </w:num>
  <w:num w:numId="6" w16cid:durableId="127205612">
    <w:abstractNumId w:val="8"/>
  </w:num>
  <w:num w:numId="7" w16cid:durableId="1720396538">
    <w:abstractNumId w:val="3"/>
  </w:num>
  <w:num w:numId="8" w16cid:durableId="111675516">
    <w:abstractNumId w:val="2"/>
  </w:num>
  <w:num w:numId="9" w16cid:durableId="680350625">
    <w:abstractNumId w:val="1"/>
  </w:num>
  <w:num w:numId="10" w16cid:durableId="1612395721">
    <w:abstractNumId w:val="0"/>
  </w:num>
  <w:num w:numId="11" w16cid:durableId="1432167919">
    <w:abstractNumId w:val="35"/>
  </w:num>
  <w:num w:numId="12" w16cid:durableId="1331719821">
    <w:abstractNumId w:val="33"/>
  </w:num>
  <w:num w:numId="13" w16cid:durableId="861482384">
    <w:abstractNumId w:val="13"/>
  </w:num>
  <w:num w:numId="14" w16cid:durableId="582106439">
    <w:abstractNumId w:val="17"/>
  </w:num>
  <w:num w:numId="15" w16cid:durableId="1865901707">
    <w:abstractNumId w:val="37"/>
  </w:num>
  <w:num w:numId="16" w16cid:durableId="556206249">
    <w:abstractNumId w:val="14"/>
  </w:num>
  <w:num w:numId="17" w16cid:durableId="1095858497">
    <w:abstractNumId w:val="19"/>
  </w:num>
  <w:num w:numId="18" w16cid:durableId="1365207615">
    <w:abstractNumId w:val="31"/>
  </w:num>
  <w:num w:numId="19" w16cid:durableId="5523522">
    <w:abstractNumId w:val="18"/>
  </w:num>
  <w:num w:numId="20" w16cid:durableId="74936745">
    <w:abstractNumId w:val="25"/>
  </w:num>
  <w:num w:numId="21" w16cid:durableId="2135323401">
    <w:abstractNumId w:val="16"/>
  </w:num>
  <w:num w:numId="22" w16cid:durableId="853154570">
    <w:abstractNumId w:val="29"/>
  </w:num>
  <w:num w:numId="23" w16cid:durableId="1255749161">
    <w:abstractNumId w:val="11"/>
  </w:num>
  <w:num w:numId="24" w16cid:durableId="1991522804">
    <w:abstractNumId w:val="30"/>
  </w:num>
  <w:num w:numId="25" w16cid:durableId="336814518">
    <w:abstractNumId w:val="28"/>
  </w:num>
  <w:num w:numId="26" w16cid:durableId="1258832564">
    <w:abstractNumId w:val="36"/>
  </w:num>
  <w:num w:numId="27" w16cid:durableId="1795757561">
    <w:abstractNumId w:val="27"/>
  </w:num>
  <w:num w:numId="28" w16cid:durableId="1083455516">
    <w:abstractNumId w:val="32"/>
  </w:num>
  <w:num w:numId="29" w16cid:durableId="1833836052">
    <w:abstractNumId w:val="24"/>
  </w:num>
  <w:num w:numId="30" w16cid:durableId="1973362261">
    <w:abstractNumId w:val="26"/>
  </w:num>
  <w:num w:numId="31" w16cid:durableId="1164590978">
    <w:abstractNumId w:val="26"/>
  </w:num>
  <w:num w:numId="32" w16cid:durableId="1232275561">
    <w:abstractNumId w:val="26"/>
  </w:num>
  <w:num w:numId="33" w16cid:durableId="1476289710">
    <w:abstractNumId w:val="10"/>
  </w:num>
  <w:num w:numId="34" w16cid:durableId="1086881597">
    <w:abstractNumId w:val="12"/>
  </w:num>
  <w:num w:numId="35" w16cid:durableId="83765988">
    <w:abstractNumId w:val="15"/>
  </w:num>
  <w:num w:numId="36" w16cid:durableId="930092454">
    <w:abstractNumId w:val="20"/>
  </w:num>
  <w:num w:numId="37" w16cid:durableId="2082091494">
    <w:abstractNumId w:val="38"/>
  </w:num>
  <w:num w:numId="38" w16cid:durableId="188106140">
    <w:abstractNumId w:val="23"/>
  </w:num>
  <w:num w:numId="39" w16cid:durableId="424307685">
    <w:abstractNumId w:val="34"/>
  </w:num>
  <w:num w:numId="40" w16cid:durableId="755515199">
    <w:abstractNumId w:val="21"/>
  </w:num>
  <w:num w:numId="41" w16cid:durableId="13725384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DD"/>
    <w:rsid w:val="00032F07"/>
    <w:rsid w:val="00041907"/>
    <w:rsid w:val="00067601"/>
    <w:rsid w:val="0008335C"/>
    <w:rsid w:val="000A6849"/>
    <w:rsid w:val="000D01A1"/>
    <w:rsid w:val="000E1194"/>
    <w:rsid w:val="00112F39"/>
    <w:rsid w:val="00155435"/>
    <w:rsid w:val="001574DB"/>
    <w:rsid w:val="00175D6D"/>
    <w:rsid w:val="001A4BC3"/>
    <w:rsid w:val="001B16F7"/>
    <w:rsid w:val="001C63D0"/>
    <w:rsid w:val="001D78E5"/>
    <w:rsid w:val="002043B9"/>
    <w:rsid w:val="00210F83"/>
    <w:rsid w:val="00227A8E"/>
    <w:rsid w:val="00227F89"/>
    <w:rsid w:val="002328DD"/>
    <w:rsid w:val="002340F0"/>
    <w:rsid w:val="0024649C"/>
    <w:rsid w:val="00263602"/>
    <w:rsid w:val="0027051C"/>
    <w:rsid w:val="002A000E"/>
    <w:rsid w:val="002C0E68"/>
    <w:rsid w:val="00313E88"/>
    <w:rsid w:val="00341FA0"/>
    <w:rsid w:val="00367645"/>
    <w:rsid w:val="00370DA4"/>
    <w:rsid w:val="00385B5B"/>
    <w:rsid w:val="0046097D"/>
    <w:rsid w:val="004A22FB"/>
    <w:rsid w:val="004C76FA"/>
    <w:rsid w:val="004D2156"/>
    <w:rsid w:val="00504CF9"/>
    <w:rsid w:val="00511E46"/>
    <w:rsid w:val="005424C3"/>
    <w:rsid w:val="00581DE3"/>
    <w:rsid w:val="005B7B99"/>
    <w:rsid w:val="005F6BCF"/>
    <w:rsid w:val="00606825"/>
    <w:rsid w:val="00631646"/>
    <w:rsid w:val="0064600C"/>
    <w:rsid w:val="006C5766"/>
    <w:rsid w:val="006C7FF8"/>
    <w:rsid w:val="006D577B"/>
    <w:rsid w:val="006E5253"/>
    <w:rsid w:val="0071751D"/>
    <w:rsid w:val="0074030F"/>
    <w:rsid w:val="007A7570"/>
    <w:rsid w:val="007E32E7"/>
    <w:rsid w:val="00813205"/>
    <w:rsid w:val="00844A15"/>
    <w:rsid w:val="00895A5E"/>
    <w:rsid w:val="008A16A1"/>
    <w:rsid w:val="008A5E35"/>
    <w:rsid w:val="008B4135"/>
    <w:rsid w:val="008C0686"/>
    <w:rsid w:val="008C79BC"/>
    <w:rsid w:val="008D52FF"/>
    <w:rsid w:val="00903873"/>
    <w:rsid w:val="00916121"/>
    <w:rsid w:val="009357FA"/>
    <w:rsid w:val="00965D70"/>
    <w:rsid w:val="009B0057"/>
    <w:rsid w:val="009D3C57"/>
    <w:rsid w:val="009E6E9C"/>
    <w:rsid w:val="00A60CD4"/>
    <w:rsid w:val="00AF0463"/>
    <w:rsid w:val="00AF402E"/>
    <w:rsid w:val="00B155B7"/>
    <w:rsid w:val="00B71D8D"/>
    <w:rsid w:val="00B80A0A"/>
    <w:rsid w:val="00BB1312"/>
    <w:rsid w:val="00BC2368"/>
    <w:rsid w:val="00C035FB"/>
    <w:rsid w:val="00C16902"/>
    <w:rsid w:val="00C2535D"/>
    <w:rsid w:val="00C66984"/>
    <w:rsid w:val="00C743FD"/>
    <w:rsid w:val="00C96A49"/>
    <w:rsid w:val="00CC7BFE"/>
    <w:rsid w:val="00CE4209"/>
    <w:rsid w:val="00D1353C"/>
    <w:rsid w:val="00D154C7"/>
    <w:rsid w:val="00D2459A"/>
    <w:rsid w:val="00D679DB"/>
    <w:rsid w:val="00D7094D"/>
    <w:rsid w:val="00D76561"/>
    <w:rsid w:val="00D82EAD"/>
    <w:rsid w:val="00DB4EE8"/>
    <w:rsid w:val="00DD49DD"/>
    <w:rsid w:val="00DE762F"/>
    <w:rsid w:val="00E364C2"/>
    <w:rsid w:val="00EB3F8E"/>
    <w:rsid w:val="00EC4BAE"/>
    <w:rsid w:val="00EF13D5"/>
    <w:rsid w:val="00F04F4E"/>
    <w:rsid w:val="00F967BF"/>
    <w:rsid w:val="00FA2530"/>
    <w:rsid w:val="00FC52BA"/>
    <w:rsid w:val="00FD0845"/>
    <w:rsid w:val="00FD3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4C13F"/>
  <w15:chartTrackingRefBased/>
  <w15:docId w15:val="{8EA3140A-4BB9-984C-B107-97A04D90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56"/>
    <w:pPr>
      <w:spacing w:line="312" w:lineRule="auto"/>
    </w:pPr>
    <w:rPr>
      <w:kern w:val="20"/>
      <w:sz w:val="20"/>
      <w14:ligatures w14:val="standardContextual"/>
      <w14:numForm w14:val="lining"/>
      <w14:numSpacing w14:val="tabular"/>
      <w14:cntxtAlts/>
    </w:rPr>
  </w:style>
  <w:style w:type="paragraph" w:styleId="Heading1">
    <w:name w:val="heading 1"/>
    <w:basedOn w:val="Normal"/>
    <w:next w:val="Normal"/>
    <w:link w:val="Heading1Char"/>
    <w:uiPriority w:val="9"/>
    <w:qFormat/>
    <w:rsid w:val="008D52FF"/>
    <w:pPr>
      <w:keepNext/>
      <w:keepLines/>
      <w:suppressAutoHyphens/>
      <w:spacing w:before="320" w:line="240" w:lineRule="auto"/>
      <w:outlineLvl w:val="0"/>
    </w:pPr>
    <w:rPr>
      <w:rFonts w:asciiTheme="majorHAnsi" w:hAnsiTheme="majorHAnsi"/>
      <w:b/>
      <w:color w:val="AD003D" w:themeColor="accent1"/>
      <w:sz w:val="48"/>
    </w:rPr>
  </w:style>
  <w:style w:type="paragraph" w:styleId="Heading2">
    <w:name w:val="heading 2"/>
    <w:basedOn w:val="Heading1"/>
    <w:next w:val="Normal"/>
    <w:link w:val="Heading2Char"/>
    <w:uiPriority w:val="9"/>
    <w:qFormat/>
    <w:rsid w:val="000A6849"/>
    <w:pPr>
      <w:outlineLvl w:val="1"/>
    </w:pPr>
    <w:rPr>
      <w:sz w:val="32"/>
    </w:rPr>
  </w:style>
  <w:style w:type="paragraph" w:styleId="Heading3">
    <w:name w:val="heading 3"/>
    <w:basedOn w:val="Heading2"/>
    <w:next w:val="Normal"/>
    <w:link w:val="Heading3Char"/>
    <w:uiPriority w:val="9"/>
    <w:qFormat/>
    <w:rsid w:val="00263602"/>
    <w:pPr>
      <w:outlineLvl w:val="2"/>
    </w:pPr>
    <w:rPr>
      <w:b w:val="0"/>
      <w:color w:val="000000" w:themeColor="text1"/>
      <w:sz w:val="24"/>
    </w:rPr>
  </w:style>
  <w:style w:type="paragraph" w:styleId="Heading4">
    <w:name w:val="heading 4"/>
    <w:basedOn w:val="Heading3"/>
    <w:next w:val="Normal"/>
    <w:link w:val="Heading4Char"/>
    <w:uiPriority w:val="9"/>
    <w:unhideWhenUsed/>
    <w:qFormat/>
    <w:rsid w:val="00D154C7"/>
    <w:pPr>
      <w:outlineLvl w:val="3"/>
    </w:pPr>
    <w:rPr>
      <w:color w:val="auto"/>
      <w:sz w:val="22"/>
    </w:rPr>
  </w:style>
  <w:style w:type="paragraph" w:styleId="Heading5">
    <w:name w:val="heading 5"/>
    <w:basedOn w:val="Heading4"/>
    <w:next w:val="Normal"/>
    <w:link w:val="Heading5Char"/>
    <w:uiPriority w:val="9"/>
    <w:unhideWhenUsed/>
    <w:qFormat/>
    <w:rsid w:val="00844A15"/>
    <w:pPr>
      <w:outlineLvl w:val="4"/>
    </w:pPr>
    <w:rPr>
      <w:rFonts w:asciiTheme="minorHAnsi" w:hAnsiTheme="minorHAnsi"/>
      <w:smallCaps/>
    </w:rPr>
  </w:style>
  <w:style w:type="paragraph" w:styleId="Heading6">
    <w:name w:val="heading 6"/>
    <w:basedOn w:val="Heading5"/>
    <w:next w:val="Normal"/>
    <w:link w:val="Heading6Char"/>
    <w:uiPriority w:val="9"/>
    <w:semiHidden/>
    <w:rsid w:val="000A6849"/>
    <w:pPr>
      <w:outlineLvl w:val="5"/>
    </w:pPr>
  </w:style>
  <w:style w:type="paragraph" w:styleId="Heading7">
    <w:name w:val="heading 7"/>
    <w:basedOn w:val="Heading6"/>
    <w:next w:val="Normal"/>
    <w:link w:val="Heading7Char"/>
    <w:uiPriority w:val="9"/>
    <w:semiHidden/>
    <w:rsid w:val="00F04F4E"/>
    <w:pPr>
      <w:outlineLvl w:val="6"/>
    </w:pPr>
  </w:style>
  <w:style w:type="paragraph" w:styleId="Heading8">
    <w:name w:val="heading 8"/>
    <w:basedOn w:val="Heading7"/>
    <w:next w:val="Normal"/>
    <w:link w:val="Heading8Char"/>
    <w:uiPriority w:val="9"/>
    <w:semiHidden/>
    <w:rsid w:val="00F04F4E"/>
    <w:pPr>
      <w:outlineLvl w:val="7"/>
    </w:pPr>
  </w:style>
  <w:style w:type="paragraph" w:styleId="Heading9">
    <w:name w:val="heading 9"/>
    <w:basedOn w:val="Heading8"/>
    <w:next w:val="Normal"/>
    <w:link w:val="Heading9Char"/>
    <w:uiPriority w:val="9"/>
    <w:semiHidden/>
    <w:rsid w:val="00F04F4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BodyText"/>
    <w:next w:val="Normal"/>
    <w:link w:val="TitleChar"/>
    <w:uiPriority w:val="10"/>
    <w:rsid w:val="00263602"/>
    <w:pPr>
      <w:pageBreakBefore/>
      <w:spacing w:before="0" w:after="600"/>
    </w:pPr>
    <w:rPr>
      <w:b w:val="0"/>
      <w:color w:val="000000" w:themeColor="text1"/>
      <w:sz w:val="72"/>
    </w:rPr>
  </w:style>
  <w:style w:type="character" w:customStyle="1" w:styleId="TitleChar">
    <w:name w:val="Title Char"/>
    <w:basedOn w:val="DefaultParagraphFont"/>
    <w:link w:val="Title"/>
    <w:uiPriority w:val="10"/>
    <w:rsid w:val="00263602"/>
    <w:rPr>
      <w:rFonts w:asciiTheme="majorHAnsi" w:hAnsiTheme="majorHAnsi"/>
      <w:color w:val="000000" w:themeColor="text1"/>
      <w:kern w:val="20"/>
      <w:sz w:val="72"/>
      <w14:ligatures w14:val="standardContextual"/>
      <w14:numForm w14:val="lining"/>
      <w14:numSpacing w14:val="tabular"/>
      <w14:cntxtAlts/>
    </w:rPr>
  </w:style>
  <w:style w:type="character" w:customStyle="1" w:styleId="Heading1Char">
    <w:name w:val="Heading 1 Char"/>
    <w:basedOn w:val="DefaultParagraphFont"/>
    <w:link w:val="Heading1"/>
    <w:uiPriority w:val="9"/>
    <w:rsid w:val="008D52FF"/>
    <w:rPr>
      <w:rFonts w:asciiTheme="majorHAnsi" w:hAnsiTheme="majorHAnsi"/>
      <w:b/>
      <w:color w:val="AD003D" w:themeColor="accent1"/>
      <w:kern w:val="20"/>
      <w:sz w:val="48"/>
      <w14:ligatures w14:val="standardContextual"/>
      <w14:numForm w14:val="lining"/>
      <w14:numSpacing w14:val="tabular"/>
      <w14:cntxtAlts/>
    </w:rPr>
  </w:style>
  <w:style w:type="character" w:customStyle="1" w:styleId="Heading2Char">
    <w:name w:val="Heading 2 Char"/>
    <w:basedOn w:val="DefaultParagraphFont"/>
    <w:link w:val="Heading2"/>
    <w:uiPriority w:val="9"/>
    <w:rsid w:val="001D78E5"/>
    <w:rPr>
      <w:rFonts w:asciiTheme="majorHAnsi" w:hAnsiTheme="majorHAnsi"/>
      <w:color w:val="AD003D" w:themeColor="accent1"/>
      <w:sz w:val="32"/>
    </w:rPr>
  </w:style>
  <w:style w:type="character" w:customStyle="1" w:styleId="Heading3Char">
    <w:name w:val="Heading 3 Char"/>
    <w:basedOn w:val="DefaultParagraphFont"/>
    <w:link w:val="Heading3"/>
    <w:uiPriority w:val="9"/>
    <w:rsid w:val="00263602"/>
    <w:rPr>
      <w:rFonts w:asciiTheme="majorHAnsi" w:hAnsiTheme="majorHAnsi"/>
      <w:color w:val="000000" w:themeColor="text1"/>
      <w:kern w:val="20"/>
      <w:sz w:val="24"/>
      <w14:ligatures w14:val="standardContextual"/>
      <w14:numForm w14:val="lining"/>
      <w14:numSpacing w14:val="tabular"/>
      <w14:cntxtAlts/>
    </w:rPr>
  </w:style>
  <w:style w:type="character" w:customStyle="1" w:styleId="Heading4Char">
    <w:name w:val="Heading 4 Char"/>
    <w:basedOn w:val="DefaultParagraphFont"/>
    <w:link w:val="Heading4"/>
    <w:uiPriority w:val="9"/>
    <w:rsid w:val="00D154C7"/>
    <w:rPr>
      <w:rFonts w:asciiTheme="majorHAnsi" w:hAnsiTheme="majorHAnsi"/>
      <w:kern w:val="20"/>
      <w14:ligatures w14:val="standardContextual"/>
      <w14:numForm w14:val="lining"/>
      <w14:numSpacing w14:val="tabular"/>
      <w14:cntxtAlts/>
    </w:rPr>
  </w:style>
  <w:style w:type="paragraph" w:styleId="Subtitle">
    <w:name w:val="Subtitle"/>
    <w:basedOn w:val="Heading2"/>
    <w:next w:val="Normal"/>
    <w:link w:val="SubtitleChar"/>
    <w:uiPriority w:val="11"/>
    <w:rsid w:val="00263602"/>
    <w:pPr>
      <w:spacing w:after="600"/>
      <w:outlineLvl w:val="9"/>
    </w:pPr>
    <w:rPr>
      <w:b w:val="0"/>
      <w:color w:val="000000" w:themeColor="text1"/>
      <w:sz w:val="24"/>
    </w:rPr>
  </w:style>
  <w:style w:type="character" w:customStyle="1" w:styleId="SubtitleChar">
    <w:name w:val="Subtitle Char"/>
    <w:basedOn w:val="DefaultParagraphFont"/>
    <w:link w:val="Subtitle"/>
    <w:uiPriority w:val="11"/>
    <w:rsid w:val="00263602"/>
    <w:rPr>
      <w:rFonts w:asciiTheme="majorHAnsi" w:hAnsiTheme="majorHAnsi"/>
      <w:color w:val="000000" w:themeColor="text1"/>
      <w:kern w:val="20"/>
      <w:sz w:val="24"/>
      <w14:ligatures w14:val="standardContextual"/>
      <w14:numForm w14:val="lining"/>
      <w14:numSpacing w14:val="tabular"/>
      <w14:cntxtAlts/>
    </w:rPr>
  </w:style>
  <w:style w:type="paragraph" w:styleId="ListParagraph">
    <w:name w:val="List Paragraph"/>
    <w:basedOn w:val="BodyTextIndent"/>
    <w:uiPriority w:val="34"/>
    <w:semiHidden/>
    <w:rsid w:val="00227F89"/>
    <w:pPr>
      <w:contextualSpacing/>
    </w:pPr>
  </w:style>
  <w:style w:type="paragraph" w:styleId="NoSpacing">
    <w:name w:val="No Spacing"/>
    <w:basedOn w:val="Normal"/>
    <w:uiPriority w:val="1"/>
    <w:rsid w:val="00CC7BFE"/>
    <w:pPr>
      <w:spacing w:after="0"/>
      <w:contextualSpacing/>
    </w:pPr>
  </w:style>
  <w:style w:type="paragraph" w:styleId="Quote">
    <w:name w:val="Quote"/>
    <w:basedOn w:val="Normal"/>
    <w:next w:val="Normal"/>
    <w:link w:val="QuoteChar"/>
    <w:uiPriority w:val="29"/>
    <w:rsid w:val="000A6849"/>
    <w:pPr>
      <w:spacing w:before="160"/>
      <w:ind w:left="567" w:right="567"/>
    </w:pPr>
  </w:style>
  <w:style w:type="character" w:customStyle="1" w:styleId="QuoteChar">
    <w:name w:val="Quote Char"/>
    <w:basedOn w:val="DefaultParagraphFont"/>
    <w:link w:val="Quote"/>
    <w:uiPriority w:val="29"/>
    <w:rsid w:val="001D78E5"/>
    <w:rPr>
      <w:sz w:val="20"/>
    </w:rPr>
  </w:style>
  <w:style w:type="paragraph" w:styleId="IntenseQuote">
    <w:name w:val="Intense Quote"/>
    <w:basedOn w:val="Normal"/>
    <w:next w:val="Normal"/>
    <w:link w:val="IntenseQuoteChar"/>
    <w:uiPriority w:val="30"/>
    <w:rsid w:val="004D2156"/>
    <w:rPr>
      <w:sz w:val="28"/>
      <w:szCs w:val="30"/>
    </w:rPr>
  </w:style>
  <w:style w:type="character" w:customStyle="1" w:styleId="IntenseQuoteChar">
    <w:name w:val="Intense Quote Char"/>
    <w:basedOn w:val="DefaultParagraphFont"/>
    <w:link w:val="IntenseQuote"/>
    <w:uiPriority w:val="30"/>
    <w:rsid w:val="004D2156"/>
    <w:rPr>
      <w:kern w:val="20"/>
      <w:sz w:val="28"/>
      <w:szCs w:val="30"/>
      <w14:ligatures w14:val="standardContextual"/>
      <w14:numForm w14:val="lining"/>
      <w14:numSpacing w14:val="tabular"/>
      <w14:cntxtAlts/>
    </w:rPr>
  </w:style>
  <w:style w:type="character" w:customStyle="1" w:styleId="Heading5Char">
    <w:name w:val="Heading 5 Char"/>
    <w:basedOn w:val="DefaultParagraphFont"/>
    <w:link w:val="Heading5"/>
    <w:uiPriority w:val="9"/>
    <w:rsid w:val="001D78E5"/>
    <w:rPr>
      <w:smallCaps/>
      <w:sz w:val="20"/>
    </w:rPr>
  </w:style>
  <w:style w:type="character" w:customStyle="1" w:styleId="Heading6Char">
    <w:name w:val="Heading 6 Char"/>
    <w:basedOn w:val="DefaultParagraphFont"/>
    <w:link w:val="Heading6"/>
    <w:uiPriority w:val="9"/>
    <w:semiHidden/>
    <w:rsid w:val="00EF13D5"/>
    <w:rPr>
      <w:smallCaps/>
      <w:kern w:val="20"/>
      <w14:ligatures w14:val="standardContextual"/>
      <w14:numForm w14:val="lining"/>
      <w14:numSpacing w14:val="tabular"/>
      <w14:cntxtAlts/>
    </w:rPr>
  </w:style>
  <w:style w:type="character" w:customStyle="1" w:styleId="Heading7Char">
    <w:name w:val="Heading 7 Char"/>
    <w:basedOn w:val="DefaultParagraphFont"/>
    <w:link w:val="Heading7"/>
    <w:uiPriority w:val="9"/>
    <w:semiHidden/>
    <w:rsid w:val="00EF13D5"/>
    <w:rPr>
      <w:smallCaps/>
      <w:kern w:val="20"/>
      <w14:ligatures w14:val="standardContextual"/>
      <w14:numForm w14:val="lining"/>
      <w14:numSpacing w14:val="tabular"/>
      <w14:cntxtAlts/>
    </w:rPr>
  </w:style>
  <w:style w:type="character" w:styleId="IntenseEmphasis">
    <w:name w:val="Intense Emphasis"/>
    <w:uiPriority w:val="21"/>
    <w:rsid w:val="00EF13D5"/>
    <w:rPr>
      <w:b/>
      <w:bCs/>
      <w:color w:val="AD003D" w:themeColor="accent1"/>
    </w:rPr>
  </w:style>
  <w:style w:type="character" w:styleId="SubtleEmphasis">
    <w:name w:val="Subtle Emphasis"/>
    <w:uiPriority w:val="19"/>
    <w:rsid w:val="00EF13D5"/>
    <w:rPr>
      <w:color w:val="8F7C5D" w:themeColor="background2" w:themeShade="80"/>
    </w:rPr>
  </w:style>
  <w:style w:type="character" w:customStyle="1" w:styleId="Heading8Char">
    <w:name w:val="Heading 8 Char"/>
    <w:basedOn w:val="DefaultParagraphFont"/>
    <w:link w:val="Heading8"/>
    <w:uiPriority w:val="9"/>
    <w:semiHidden/>
    <w:rsid w:val="00EF13D5"/>
    <w:rPr>
      <w:smallCaps/>
      <w:kern w:val="20"/>
      <w14:ligatures w14:val="standardContextual"/>
      <w14:numForm w14:val="lining"/>
      <w14:numSpacing w14:val="tabular"/>
      <w14:cntxtAlts/>
    </w:rPr>
  </w:style>
  <w:style w:type="character" w:customStyle="1" w:styleId="Heading9Char">
    <w:name w:val="Heading 9 Char"/>
    <w:basedOn w:val="DefaultParagraphFont"/>
    <w:link w:val="Heading9"/>
    <w:uiPriority w:val="9"/>
    <w:semiHidden/>
    <w:rsid w:val="00EF13D5"/>
    <w:rPr>
      <w:smallCaps/>
      <w:kern w:val="20"/>
      <w14:ligatures w14:val="standardContextual"/>
      <w14:numForm w14:val="lining"/>
      <w14:numSpacing w14:val="tabular"/>
      <w14:cntxtAlts/>
    </w:rPr>
  </w:style>
  <w:style w:type="table" w:styleId="TableGrid">
    <w:name w:val="Table Grid"/>
    <w:basedOn w:val="TableNormal"/>
    <w:uiPriority w:val="39"/>
    <w:rsid w:val="00D7094D"/>
    <w:pPr>
      <w:spacing w:after="0" w:line="240" w:lineRule="auto"/>
    </w:pPr>
    <w:tblPr>
      <w:tblStyleRowBandSize w:val="1"/>
      <w:tblStyleColBandSize w:val="1"/>
      <w:tblBorders>
        <w:top w:val="single" w:sz="4" w:space="0" w:color="F0EDE8" w:themeColor="background2"/>
        <w:left w:val="single" w:sz="4" w:space="0" w:color="F0EDE8" w:themeColor="background2"/>
        <w:bottom w:val="single" w:sz="4" w:space="0" w:color="F0EDE8" w:themeColor="background2"/>
        <w:right w:val="single" w:sz="4" w:space="0" w:color="F0EDE8" w:themeColor="background2"/>
        <w:insideH w:val="single" w:sz="4" w:space="0" w:color="F0EDE8" w:themeColor="background2"/>
        <w:insideV w:val="single" w:sz="4" w:space="0" w:color="F0EDE8" w:themeColor="background2"/>
      </w:tblBorders>
      <w:tblCellMar>
        <w:top w:w="57" w:type="dxa"/>
        <w:left w:w="85" w:type="dxa"/>
        <w:bottom w:w="28" w:type="dxa"/>
        <w:right w:w="85" w:type="dxa"/>
      </w:tblCellMar>
    </w:tblPr>
    <w:tblStylePr w:type="firstRow">
      <w:pPr>
        <w:keepNext/>
        <w:wordWrap/>
      </w:pPr>
      <w:rPr>
        <w:rFonts w:asciiTheme="minorHAnsi" w:hAnsiTheme="minorHAnsi"/>
        <w:b/>
      </w:rPr>
      <w:tblPr/>
      <w:tcPr>
        <w:shd w:val="clear" w:color="auto" w:fill="F0EDE8" w:themeFill="background2"/>
      </w:tcPr>
    </w:tblStylePr>
    <w:tblStylePr w:type="lastRow">
      <w:rPr>
        <w:rFonts w:asciiTheme="minorHAnsi" w:hAnsiTheme="minorHAnsi"/>
        <w:b/>
      </w:rPr>
      <w:tblPr/>
      <w:tcPr>
        <w:tcBorders>
          <w:top w:val="single" w:sz="4" w:space="0" w:color="870034" w:themeColor="text2"/>
        </w:tcBorders>
      </w:tcPr>
    </w:tblStylePr>
    <w:tblStylePr w:type="firstCol">
      <w:rPr>
        <w:rFonts w:asciiTheme="minorHAnsi" w:hAnsiTheme="minorHAnsi"/>
        <w:b/>
      </w:rPr>
      <w:tblPr/>
      <w:tcPr>
        <w:shd w:val="clear" w:color="auto" w:fill="F0EDE8" w:themeFill="background2"/>
      </w:tcPr>
    </w:tblStylePr>
    <w:tblStylePr w:type="lastCol">
      <w:rPr>
        <w:rFonts w:asciiTheme="minorHAnsi" w:hAnsiTheme="minorHAnsi"/>
        <w:b/>
      </w:rPr>
      <w:tblPr/>
      <w:tcPr>
        <w:tcBorders>
          <w:left w:val="single" w:sz="4" w:space="0" w:color="870034" w:themeColor="text2"/>
        </w:tcBorders>
      </w:tcPr>
    </w:tblStylePr>
    <w:tblStylePr w:type="band1Vert">
      <w:tblPr/>
      <w:tcPr>
        <w:tcBorders>
          <w:left w:val="single" w:sz="4" w:space="0" w:color="870034" w:themeColor="text2"/>
          <w:right w:val="single" w:sz="4" w:space="0" w:color="870034" w:themeColor="text2"/>
        </w:tcBorders>
      </w:tcPr>
    </w:tblStylePr>
    <w:tblStylePr w:type="band2Vert">
      <w:tblPr/>
      <w:tcPr>
        <w:tcBorders>
          <w:left w:val="single" w:sz="4" w:space="0" w:color="870034" w:themeColor="text2"/>
          <w:right w:val="single" w:sz="4" w:space="0" w:color="870034" w:themeColor="text2"/>
        </w:tcBorders>
      </w:tcPr>
    </w:tblStylePr>
    <w:tblStylePr w:type="band1Horz">
      <w:tblPr/>
      <w:tcPr>
        <w:tcBorders>
          <w:top w:val="single" w:sz="4" w:space="0" w:color="870034" w:themeColor="text2"/>
          <w:bottom w:val="single" w:sz="4" w:space="0" w:color="870034" w:themeColor="text2"/>
        </w:tcBorders>
      </w:tcPr>
    </w:tblStylePr>
    <w:tblStylePr w:type="band2Horz">
      <w:tblPr/>
      <w:tcPr>
        <w:tcBorders>
          <w:top w:val="single" w:sz="4" w:space="0" w:color="870034" w:themeColor="text2"/>
          <w:bottom w:val="single" w:sz="4" w:space="0" w:color="870034" w:themeColor="text2"/>
        </w:tcBorders>
      </w:tcPr>
    </w:tblStylePr>
  </w:style>
  <w:style w:type="table" w:styleId="ColourfulListAccent6">
    <w:name w:val="Colorful List Accent 6"/>
    <w:basedOn w:val="TableNormal"/>
    <w:uiPriority w:val="72"/>
    <w:rsid w:val="00F04F4E"/>
    <w:pPr>
      <w:spacing w:after="0" w:line="240" w:lineRule="auto"/>
    </w:pPr>
    <w:rPr>
      <w:color w:val="000000" w:themeColor="text1"/>
    </w:rPr>
    <w:tblPr>
      <w:tblStyleRowBandSize w:val="1"/>
      <w:tblStyleColBandSize w:val="1"/>
    </w:tblPr>
    <w:tcPr>
      <w:shd w:val="clear" w:color="auto" w:fill="FDF4EA" w:themeFill="accent6" w:themeFillTint="19"/>
    </w:tcPr>
    <w:tblStylePr w:type="firstRow">
      <w:rPr>
        <w:b/>
        <w:bCs/>
        <w:color w:val="FFFFFF" w:themeColor="background1"/>
      </w:rPr>
      <w:tblPr/>
      <w:tcPr>
        <w:tcBorders>
          <w:bottom w:val="single" w:sz="12" w:space="0" w:color="FFFFFF" w:themeColor="background1"/>
        </w:tcBorders>
        <w:shd w:val="clear" w:color="auto" w:fill="0C6C41" w:themeFill="accent5" w:themeFillShade="CC"/>
      </w:tcPr>
    </w:tblStylePr>
    <w:tblStylePr w:type="lastRow">
      <w:rPr>
        <w:b/>
        <w:bCs/>
        <w:color w:val="0C6C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CA" w:themeFill="accent6" w:themeFillTint="3F"/>
      </w:tcPr>
    </w:tblStylePr>
    <w:tblStylePr w:type="band1Horz">
      <w:tblPr/>
      <w:tcPr>
        <w:shd w:val="clear" w:color="auto" w:fill="FBE8D5" w:themeFill="accent6" w:themeFillTint="33"/>
      </w:tcPr>
    </w:tblStylePr>
  </w:style>
  <w:style w:type="table" w:styleId="TableTheme">
    <w:name w:val="Table Theme"/>
    <w:basedOn w:val="TableNormal"/>
    <w:uiPriority w:val="99"/>
    <w:rsid w:val="00F04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04F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04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04F4E"/>
    <w:pPr>
      <w:spacing w:after="0" w:line="240" w:lineRule="auto"/>
    </w:pPr>
    <w:tblPr>
      <w:tblStyleRowBandSize w:val="1"/>
      <w:tblStyleColBandSize w:val="1"/>
      <w:tblBorders>
        <w:top w:val="single" w:sz="4" w:space="0" w:color="FF78A7" w:themeColor="accent1" w:themeTint="66"/>
        <w:left w:val="single" w:sz="4" w:space="0" w:color="FF78A7" w:themeColor="accent1" w:themeTint="66"/>
        <w:bottom w:val="single" w:sz="4" w:space="0" w:color="FF78A7" w:themeColor="accent1" w:themeTint="66"/>
        <w:right w:val="single" w:sz="4" w:space="0" w:color="FF78A7" w:themeColor="accent1" w:themeTint="66"/>
        <w:insideH w:val="single" w:sz="4" w:space="0" w:color="FF78A7" w:themeColor="accent1" w:themeTint="66"/>
        <w:insideV w:val="single" w:sz="4" w:space="0" w:color="FF78A7" w:themeColor="accent1" w:themeTint="66"/>
      </w:tblBorders>
    </w:tblPr>
    <w:tblStylePr w:type="firstRow">
      <w:rPr>
        <w:b/>
        <w:bCs/>
      </w:rPr>
      <w:tblPr/>
      <w:tcPr>
        <w:tcBorders>
          <w:bottom w:val="single" w:sz="12" w:space="0" w:color="FF347B" w:themeColor="accent1" w:themeTint="99"/>
        </w:tcBorders>
      </w:tcPr>
    </w:tblStylePr>
    <w:tblStylePr w:type="lastRow">
      <w:rPr>
        <w:b/>
        <w:bCs/>
      </w:rPr>
      <w:tblPr/>
      <w:tcPr>
        <w:tcBorders>
          <w:top w:val="double" w:sz="2" w:space="0" w:color="FF347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F04F4E"/>
    <w:pPr>
      <w:spacing w:after="0" w:line="240" w:lineRule="auto"/>
    </w:pPr>
    <w:tblPr>
      <w:tblStyleRowBandSize w:val="1"/>
      <w:tblStyleColBandSize w:val="1"/>
      <w:tblBorders>
        <w:top w:val="single" w:sz="4" w:space="0" w:color="FF347B" w:themeColor="accent1" w:themeTint="99"/>
        <w:left w:val="single" w:sz="4" w:space="0" w:color="FF347B" w:themeColor="accent1" w:themeTint="99"/>
        <w:bottom w:val="single" w:sz="4" w:space="0" w:color="FF347B" w:themeColor="accent1" w:themeTint="99"/>
        <w:right w:val="single" w:sz="4" w:space="0" w:color="FF347B" w:themeColor="accent1" w:themeTint="99"/>
        <w:insideH w:val="single" w:sz="4" w:space="0" w:color="FF347B" w:themeColor="accent1" w:themeTint="99"/>
        <w:insideV w:val="single" w:sz="4" w:space="0" w:color="FF347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bottom w:val="single" w:sz="4" w:space="0" w:color="FF347B" w:themeColor="accent1" w:themeTint="99"/>
        </w:tcBorders>
      </w:tcPr>
    </w:tblStylePr>
    <w:tblStylePr w:type="nwCell">
      <w:tblPr/>
      <w:tcPr>
        <w:tcBorders>
          <w:bottom w:val="single" w:sz="4" w:space="0" w:color="FF347B" w:themeColor="accent1" w:themeTint="99"/>
        </w:tcBorders>
      </w:tcPr>
    </w:tblStylePr>
    <w:tblStylePr w:type="seCell">
      <w:tblPr/>
      <w:tcPr>
        <w:tcBorders>
          <w:top w:val="single" w:sz="4" w:space="0" w:color="FF347B" w:themeColor="accent1" w:themeTint="99"/>
        </w:tcBorders>
      </w:tcPr>
    </w:tblStylePr>
    <w:tblStylePr w:type="swCell">
      <w:tblPr/>
      <w:tcPr>
        <w:tcBorders>
          <w:top w:val="single" w:sz="4" w:space="0" w:color="FF347B" w:themeColor="accent1" w:themeTint="99"/>
        </w:tcBorders>
      </w:tcPr>
    </w:tblStylePr>
  </w:style>
  <w:style w:type="table" w:styleId="GridTable4">
    <w:name w:val="Grid Table 4"/>
    <w:basedOn w:val="TableNormal"/>
    <w:uiPriority w:val="49"/>
    <w:rsid w:val="00F04F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urfulAccent5">
    <w:name w:val="Grid Table 7 Colorful Accent 5"/>
    <w:basedOn w:val="TableNormal"/>
    <w:uiPriority w:val="52"/>
    <w:rsid w:val="00F04F4E"/>
    <w:pPr>
      <w:spacing w:after="0" w:line="240" w:lineRule="auto"/>
    </w:pPr>
    <w:rPr>
      <w:color w:val="0B653D" w:themeColor="accent5" w:themeShade="BF"/>
    </w:rPr>
    <w:tblPr>
      <w:tblStyleRowBandSize w:val="1"/>
      <w:tblStyleColBandSize w:val="1"/>
      <w:tblBorders>
        <w:top w:val="single" w:sz="4" w:space="0" w:color="3CE99C" w:themeColor="accent5" w:themeTint="99"/>
        <w:left w:val="single" w:sz="4" w:space="0" w:color="3CE99C" w:themeColor="accent5" w:themeTint="99"/>
        <w:bottom w:val="single" w:sz="4" w:space="0" w:color="3CE99C" w:themeColor="accent5" w:themeTint="99"/>
        <w:right w:val="single" w:sz="4" w:space="0" w:color="3CE99C" w:themeColor="accent5" w:themeTint="99"/>
        <w:insideH w:val="single" w:sz="4" w:space="0" w:color="3CE99C" w:themeColor="accent5" w:themeTint="99"/>
        <w:insideV w:val="single" w:sz="4" w:space="0" w:color="3CE9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bottom w:val="single" w:sz="4" w:space="0" w:color="3CE99C" w:themeColor="accent5" w:themeTint="99"/>
        </w:tcBorders>
      </w:tcPr>
    </w:tblStylePr>
    <w:tblStylePr w:type="nwCell">
      <w:tblPr/>
      <w:tcPr>
        <w:tcBorders>
          <w:bottom w:val="single" w:sz="4" w:space="0" w:color="3CE99C" w:themeColor="accent5" w:themeTint="99"/>
        </w:tcBorders>
      </w:tcPr>
    </w:tblStylePr>
    <w:tblStylePr w:type="seCell">
      <w:tblPr/>
      <w:tcPr>
        <w:tcBorders>
          <w:top w:val="single" w:sz="4" w:space="0" w:color="3CE99C" w:themeColor="accent5" w:themeTint="99"/>
        </w:tcBorders>
      </w:tcPr>
    </w:tblStylePr>
    <w:tblStylePr w:type="swCell">
      <w:tblPr/>
      <w:tcPr>
        <w:tcBorders>
          <w:top w:val="single" w:sz="4" w:space="0" w:color="3CE99C" w:themeColor="accent5" w:themeTint="99"/>
        </w:tcBorders>
      </w:tcPr>
    </w:tblStylePr>
  </w:style>
  <w:style w:type="table" w:styleId="ListTable1Light-Accent4">
    <w:name w:val="List Table 1 Light Accent 4"/>
    <w:basedOn w:val="TableNormal"/>
    <w:uiPriority w:val="46"/>
    <w:rsid w:val="00F04F4E"/>
    <w:pPr>
      <w:spacing w:after="0" w:line="240" w:lineRule="auto"/>
    </w:pPr>
    <w:tblPr>
      <w:tblStyleRowBandSize w:val="1"/>
      <w:tblStyleColBandSize w:val="1"/>
    </w:tblPr>
    <w:tblStylePr w:type="firstRow">
      <w:rPr>
        <w:b/>
        <w:bCs/>
      </w:rPr>
      <w:tblPr/>
      <w:tcPr>
        <w:tcBorders>
          <w:bottom w:val="single" w:sz="4" w:space="0" w:color="2FFFDF" w:themeColor="accent4" w:themeTint="99"/>
        </w:tcBorders>
      </w:tcPr>
    </w:tblStylePr>
    <w:tblStylePr w:type="lastRow">
      <w:rPr>
        <w:b/>
        <w:bCs/>
      </w:rPr>
      <w:tblPr/>
      <w:tcPr>
        <w:tcBorders>
          <w:top w:val="single" w:sz="4" w:space="0" w:color="2FFFDF" w:themeColor="accent4" w:themeTint="99"/>
        </w:tcBorders>
      </w:tcPr>
    </w:tblStylePr>
    <w:tblStylePr w:type="firstCol">
      <w:rPr>
        <w:b/>
        <w:bCs/>
      </w:rPr>
    </w:tblStylePr>
    <w:tblStylePr w:type="lastCol">
      <w:rPr>
        <w:b/>
        <w:bCs/>
      </w:rPr>
    </w:tblStylePr>
    <w:tblStylePr w:type="band1Vert">
      <w:tblPr/>
      <w:tcPr>
        <w:shd w:val="clear" w:color="auto" w:fill="B9FFF4" w:themeFill="accent4" w:themeFillTint="33"/>
      </w:tcPr>
    </w:tblStylePr>
    <w:tblStylePr w:type="band1Horz">
      <w:tblPr/>
      <w:tcPr>
        <w:shd w:val="clear" w:color="auto" w:fill="B9FFF4" w:themeFill="accent4" w:themeFillTint="33"/>
      </w:tcPr>
    </w:tblStylePr>
  </w:style>
  <w:style w:type="table" w:styleId="ListTable5Dark-Accent3">
    <w:name w:val="List Table 5 Dark Accent 3"/>
    <w:basedOn w:val="TableNormal"/>
    <w:uiPriority w:val="50"/>
    <w:rsid w:val="00F04F4E"/>
    <w:pPr>
      <w:spacing w:after="0" w:line="240" w:lineRule="auto"/>
    </w:pPr>
    <w:rPr>
      <w:color w:val="FFFFFF" w:themeColor="background1"/>
    </w:rPr>
    <w:tblPr>
      <w:tblStyleRowBandSize w:val="1"/>
      <w:tblStyleColBandSize w:val="1"/>
      <w:tblBorders>
        <w:top w:val="single" w:sz="24" w:space="0" w:color="00639C" w:themeColor="accent3"/>
        <w:left w:val="single" w:sz="24" w:space="0" w:color="00639C" w:themeColor="accent3"/>
        <w:bottom w:val="single" w:sz="24" w:space="0" w:color="00639C" w:themeColor="accent3"/>
        <w:right w:val="single" w:sz="24" w:space="0" w:color="00639C" w:themeColor="accent3"/>
      </w:tblBorders>
    </w:tblPr>
    <w:tcPr>
      <w:shd w:val="clear" w:color="auto" w:fill="0063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2">
    <w:name w:val="Plain Table 2"/>
    <w:basedOn w:val="TableNormal"/>
    <w:uiPriority w:val="42"/>
    <w:rsid w:val="00F04F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Web2">
    <w:name w:val="Table Web 2"/>
    <w:basedOn w:val="TableNormal"/>
    <w:uiPriority w:val="99"/>
    <w:rsid w:val="00C96A49"/>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7ColourfulAccent2">
    <w:name w:val="Grid Table 7 Colorful Accent 2"/>
    <w:basedOn w:val="TableNormal"/>
    <w:uiPriority w:val="52"/>
    <w:rsid w:val="00F04F4E"/>
    <w:pPr>
      <w:spacing w:after="0" w:line="240" w:lineRule="auto"/>
    </w:pPr>
    <w:rPr>
      <w:color w:val="462761" w:themeColor="accent2" w:themeShade="BF"/>
    </w:rPr>
    <w:tblPr>
      <w:tblStyleRowBandSize w:val="1"/>
      <w:tblStyleColBandSize w:val="1"/>
      <w:tblBorders>
        <w:top w:val="single" w:sz="4" w:space="0" w:color="9F72C6" w:themeColor="accent2" w:themeTint="99"/>
        <w:left w:val="single" w:sz="4" w:space="0" w:color="9F72C6" w:themeColor="accent2" w:themeTint="99"/>
        <w:bottom w:val="single" w:sz="4" w:space="0" w:color="9F72C6" w:themeColor="accent2" w:themeTint="99"/>
        <w:right w:val="single" w:sz="4" w:space="0" w:color="9F72C6" w:themeColor="accent2" w:themeTint="99"/>
        <w:insideH w:val="single" w:sz="4" w:space="0" w:color="9F72C6" w:themeColor="accent2" w:themeTint="99"/>
        <w:insideV w:val="single" w:sz="4" w:space="0" w:color="9F72C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0EC" w:themeFill="accent2" w:themeFillTint="33"/>
      </w:tcPr>
    </w:tblStylePr>
    <w:tblStylePr w:type="band1Horz">
      <w:tblPr/>
      <w:tcPr>
        <w:shd w:val="clear" w:color="auto" w:fill="DFD0EC" w:themeFill="accent2" w:themeFillTint="33"/>
      </w:tcPr>
    </w:tblStylePr>
    <w:tblStylePr w:type="neCell">
      <w:tblPr/>
      <w:tcPr>
        <w:tcBorders>
          <w:bottom w:val="single" w:sz="4" w:space="0" w:color="9F72C6" w:themeColor="accent2" w:themeTint="99"/>
        </w:tcBorders>
      </w:tcPr>
    </w:tblStylePr>
    <w:tblStylePr w:type="nwCell">
      <w:tblPr/>
      <w:tcPr>
        <w:tcBorders>
          <w:bottom w:val="single" w:sz="4" w:space="0" w:color="9F72C6" w:themeColor="accent2" w:themeTint="99"/>
        </w:tcBorders>
      </w:tcPr>
    </w:tblStylePr>
    <w:tblStylePr w:type="seCell">
      <w:tblPr/>
      <w:tcPr>
        <w:tcBorders>
          <w:top w:val="single" w:sz="4" w:space="0" w:color="9F72C6" w:themeColor="accent2" w:themeTint="99"/>
        </w:tcBorders>
      </w:tcPr>
    </w:tblStylePr>
    <w:tblStylePr w:type="swCell">
      <w:tblPr/>
      <w:tcPr>
        <w:tcBorders>
          <w:top w:val="single" w:sz="4" w:space="0" w:color="9F72C6" w:themeColor="accent2" w:themeTint="99"/>
        </w:tcBorders>
      </w:tcPr>
    </w:tblStylePr>
  </w:style>
  <w:style w:type="table" w:styleId="GridTable1Light">
    <w:name w:val="Grid Table 1 Light"/>
    <w:basedOn w:val="TableNormal"/>
    <w:uiPriority w:val="46"/>
    <w:rsid w:val="00F04F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BodyText3"/>
    <w:link w:val="FootnoteTextChar"/>
    <w:uiPriority w:val="99"/>
    <w:semiHidden/>
    <w:rsid w:val="001D78E5"/>
    <w:pPr>
      <w:spacing w:after="0"/>
      <w:ind w:left="284" w:hanging="284"/>
    </w:pPr>
  </w:style>
  <w:style w:type="character" w:customStyle="1" w:styleId="FootnoteTextChar">
    <w:name w:val="Footnote Text Char"/>
    <w:basedOn w:val="DefaultParagraphFont"/>
    <w:link w:val="FootnoteText"/>
    <w:uiPriority w:val="99"/>
    <w:semiHidden/>
    <w:rsid w:val="001D78E5"/>
    <w:rPr>
      <w:sz w:val="16"/>
    </w:rPr>
  </w:style>
  <w:style w:type="character" w:styleId="FootnoteReference">
    <w:name w:val="footnote reference"/>
    <w:basedOn w:val="FootnoteTextChar"/>
    <w:uiPriority w:val="99"/>
    <w:semiHidden/>
    <w:rsid w:val="001D78E5"/>
    <w:rPr>
      <w:color w:val="AD003D" w:themeColor="accent1"/>
      <w:sz w:val="20"/>
      <w:vertAlign w:val="superscript"/>
    </w:rPr>
  </w:style>
  <w:style w:type="paragraph" w:styleId="TOCHeading">
    <w:name w:val="TOC Heading"/>
    <w:basedOn w:val="Heading1BodyText"/>
    <w:next w:val="Normal"/>
    <w:uiPriority w:val="39"/>
    <w:semiHidden/>
    <w:qFormat/>
    <w:rsid w:val="005424C3"/>
  </w:style>
  <w:style w:type="paragraph" w:styleId="TOC1">
    <w:name w:val="toc 1"/>
    <w:basedOn w:val="NoSpacing"/>
    <w:next w:val="Normal"/>
    <w:uiPriority w:val="39"/>
    <w:semiHidden/>
    <w:rsid w:val="00DD49DD"/>
    <w:pPr>
      <w:tabs>
        <w:tab w:val="right" w:leader="dot" w:pos="9639"/>
      </w:tabs>
      <w:ind w:left="567" w:hanging="567"/>
    </w:pPr>
    <w:rPr>
      <w:noProof/>
    </w:rPr>
  </w:style>
  <w:style w:type="paragraph" w:styleId="TOC2">
    <w:name w:val="toc 2"/>
    <w:basedOn w:val="TOC1"/>
    <w:next w:val="Normal"/>
    <w:uiPriority w:val="39"/>
    <w:semiHidden/>
    <w:rsid w:val="00DD49DD"/>
    <w:pPr>
      <w:ind w:left="851"/>
    </w:pPr>
  </w:style>
  <w:style w:type="paragraph" w:styleId="TOC3">
    <w:name w:val="toc 3"/>
    <w:basedOn w:val="TOC1"/>
    <w:next w:val="Normal"/>
    <w:uiPriority w:val="39"/>
    <w:semiHidden/>
    <w:rsid w:val="00DD49DD"/>
    <w:pPr>
      <w:ind w:left="1134"/>
    </w:pPr>
  </w:style>
  <w:style w:type="character" w:styleId="Hyperlink">
    <w:name w:val="Hyperlink"/>
    <w:basedOn w:val="DefaultParagraphFont"/>
    <w:uiPriority w:val="99"/>
    <w:semiHidden/>
    <w:rsid w:val="00263602"/>
    <w:rPr>
      <w:color w:val="00639C" w:themeColor="accent3"/>
      <w:u w:val="dotted" w:color="3D8B7A"/>
    </w:rPr>
  </w:style>
  <w:style w:type="paragraph" w:styleId="Caption">
    <w:name w:val="caption"/>
    <w:basedOn w:val="BodyText3"/>
    <w:next w:val="Normal"/>
    <w:uiPriority w:val="35"/>
    <w:semiHidden/>
    <w:qFormat/>
    <w:rsid w:val="00CE4209"/>
    <w:pPr>
      <w:spacing w:before="160"/>
    </w:pPr>
  </w:style>
  <w:style w:type="paragraph" w:styleId="TOAHeading">
    <w:name w:val="toa heading"/>
    <w:basedOn w:val="Heading1BodyText"/>
    <w:next w:val="Normal"/>
    <w:uiPriority w:val="99"/>
    <w:semiHidden/>
    <w:rsid w:val="005424C3"/>
  </w:style>
  <w:style w:type="paragraph" w:styleId="TableofAuthorities">
    <w:name w:val="table of authorities"/>
    <w:basedOn w:val="TOC1"/>
    <w:next w:val="Normal"/>
    <w:uiPriority w:val="99"/>
    <w:semiHidden/>
    <w:rsid w:val="0074030F"/>
  </w:style>
  <w:style w:type="paragraph" w:styleId="TableofFigures">
    <w:name w:val="table of figures"/>
    <w:basedOn w:val="TOC1"/>
    <w:next w:val="Normal"/>
    <w:uiPriority w:val="99"/>
    <w:semiHidden/>
    <w:rsid w:val="0074030F"/>
  </w:style>
  <w:style w:type="paragraph" w:styleId="Bibliography">
    <w:name w:val="Bibliography"/>
    <w:basedOn w:val="TOC1"/>
    <w:next w:val="Normal"/>
    <w:uiPriority w:val="37"/>
    <w:semiHidden/>
    <w:rsid w:val="0074030F"/>
  </w:style>
  <w:style w:type="paragraph" w:styleId="TOC4">
    <w:name w:val="toc 4"/>
    <w:basedOn w:val="TOC1"/>
    <w:next w:val="Normal"/>
    <w:uiPriority w:val="39"/>
    <w:semiHidden/>
    <w:rsid w:val="00DD49DD"/>
    <w:pPr>
      <w:ind w:left="1418"/>
    </w:pPr>
  </w:style>
  <w:style w:type="paragraph" w:styleId="TOC5">
    <w:name w:val="toc 5"/>
    <w:basedOn w:val="TOC1"/>
    <w:next w:val="Normal"/>
    <w:uiPriority w:val="39"/>
    <w:semiHidden/>
    <w:rsid w:val="00DD49DD"/>
    <w:pPr>
      <w:ind w:left="1701"/>
    </w:pPr>
  </w:style>
  <w:style w:type="paragraph" w:styleId="TOC6">
    <w:name w:val="toc 6"/>
    <w:basedOn w:val="TOC1"/>
    <w:next w:val="Normal"/>
    <w:uiPriority w:val="39"/>
    <w:semiHidden/>
    <w:rsid w:val="00DD49DD"/>
    <w:pPr>
      <w:ind w:left="1985"/>
    </w:pPr>
  </w:style>
  <w:style w:type="paragraph" w:styleId="TOC7">
    <w:name w:val="toc 7"/>
    <w:basedOn w:val="TOC1"/>
    <w:next w:val="Normal"/>
    <w:uiPriority w:val="39"/>
    <w:semiHidden/>
    <w:rsid w:val="00DD49DD"/>
    <w:pPr>
      <w:ind w:left="2268"/>
    </w:pPr>
  </w:style>
  <w:style w:type="paragraph" w:styleId="TOC8">
    <w:name w:val="toc 8"/>
    <w:basedOn w:val="TOC1"/>
    <w:next w:val="Normal"/>
    <w:uiPriority w:val="39"/>
    <w:semiHidden/>
    <w:rsid w:val="00DD49DD"/>
    <w:pPr>
      <w:ind w:left="2552"/>
    </w:pPr>
  </w:style>
  <w:style w:type="paragraph" w:styleId="TOC9">
    <w:name w:val="toc 9"/>
    <w:basedOn w:val="TOC1"/>
    <w:next w:val="Normal"/>
    <w:uiPriority w:val="39"/>
    <w:semiHidden/>
    <w:rsid w:val="00DD49DD"/>
    <w:pPr>
      <w:ind w:left="2835"/>
    </w:pPr>
  </w:style>
  <w:style w:type="paragraph" w:styleId="Header">
    <w:name w:val="header"/>
    <w:basedOn w:val="BodyText3"/>
    <w:link w:val="HeaderChar"/>
    <w:uiPriority w:val="99"/>
    <w:semiHidden/>
    <w:rsid w:val="00CE4209"/>
    <w:pPr>
      <w:spacing w:after="0"/>
      <w:contextualSpacing/>
      <w:jc w:val="right"/>
    </w:pPr>
    <w:rPr>
      <w:color w:val="7F7F7F" w:themeColor="text1" w:themeTint="80"/>
    </w:rPr>
  </w:style>
  <w:style w:type="character" w:customStyle="1" w:styleId="HeaderChar">
    <w:name w:val="Header Char"/>
    <w:basedOn w:val="DefaultParagraphFont"/>
    <w:link w:val="Header"/>
    <w:uiPriority w:val="99"/>
    <w:semiHidden/>
    <w:rsid w:val="001D78E5"/>
    <w:rPr>
      <w:color w:val="7F7F7F" w:themeColor="text1" w:themeTint="80"/>
      <w:sz w:val="16"/>
    </w:rPr>
  </w:style>
  <w:style w:type="paragraph" w:styleId="Footer">
    <w:name w:val="footer"/>
    <w:basedOn w:val="Header"/>
    <w:link w:val="FooterChar"/>
    <w:uiPriority w:val="99"/>
    <w:semiHidden/>
    <w:rsid w:val="0074030F"/>
  </w:style>
  <w:style w:type="character" w:customStyle="1" w:styleId="FooterChar">
    <w:name w:val="Footer Char"/>
    <w:basedOn w:val="DefaultParagraphFont"/>
    <w:link w:val="Footer"/>
    <w:uiPriority w:val="99"/>
    <w:semiHidden/>
    <w:rsid w:val="001D78E5"/>
    <w:rPr>
      <w:color w:val="7F7F7F" w:themeColor="text1" w:themeTint="80"/>
      <w:sz w:val="16"/>
    </w:rPr>
  </w:style>
  <w:style w:type="paragraph" w:styleId="BodyText3">
    <w:name w:val="Body Text 3"/>
    <w:basedOn w:val="BodyText"/>
    <w:link w:val="BodyText3Char"/>
    <w:uiPriority w:val="99"/>
    <w:semiHidden/>
    <w:rsid w:val="006C7FF8"/>
    <w:rPr>
      <w:sz w:val="16"/>
    </w:rPr>
  </w:style>
  <w:style w:type="character" w:customStyle="1" w:styleId="BodyText3Char">
    <w:name w:val="Body Text 3 Char"/>
    <w:basedOn w:val="DefaultParagraphFont"/>
    <w:link w:val="BodyText3"/>
    <w:uiPriority w:val="99"/>
    <w:semiHidden/>
    <w:rsid w:val="001D78E5"/>
    <w:rPr>
      <w:sz w:val="16"/>
    </w:rPr>
  </w:style>
  <w:style w:type="paragraph" w:styleId="BodyText">
    <w:name w:val="Body Text"/>
    <w:basedOn w:val="Normal"/>
    <w:link w:val="BodyTextChar"/>
    <w:uiPriority w:val="99"/>
    <w:semiHidden/>
    <w:rsid w:val="0074030F"/>
  </w:style>
  <w:style w:type="character" w:customStyle="1" w:styleId="BodyTextChar">
    <w:name w:val="Body Text Char"/>
    <w:basedOn w:val="DefaultParagraphFont"/>
    <w:link w:val="BodyText"/>
    <w:uiPriority w:val="99"/>
    <w:semiHidden/>
    <w:rsid w:val="001D78E5"/>
    <w:rPr>
      <w:sz w:val="20"/>
    </w:rPr>
  </w:style>
  <w:style w:type="paragraph" w:styleId="BodyText2">
    <w:name w:val="Body Text 2"/>
    <w:basedOn w:val="BodyText"/>
    <w:link w:val="BodyText2Char"/>
    <w:uiPriority w:val="99"/>
    <w:semiHidden/>
    <w:rsid w:val="006C7FF8"/>
    <w:pPr>
      <w:spacing w:line="360" w:lineRule="auto"/>
    </w:pPr>
  </w:style>
  <w:style w:type="character" w:customStyle="1" w:styleId="BodyText2Char">
    <w:name w:val="Body Text 2 Char"/>
    <w:basedOn w:val="DefaultParagraphFont"/>
    <w:link w:val="BodyText2"/>
    <w:uiPriority w:val="99"/>
    <w:semiHidden/>
    <w:rsid w:val="001D78E5"/>
    <w:rPr>
      <w:sz w:val="20"/>
    </w:rPr>
  </w:style>
  <w:style w:type="paragraph" w:styleId="BodyTextFirstIndent">
    <w:name w:val="Body Text First Indent"/>
    <w:basedOn w:val="BodyText"/>
    <w:link w:val="BodyTextFirstIndentChar"/>
    <w:uiPriority w:val="99"/>
    <w:semiHidden/>
    <w:rsid w:val="008C0686"/>
    <w:pPr>
      <w:ind w:firstLine="567"/>
    </w:pPr>
  </w:style>
  <w:style w:type="character" w:customStyle="1" w:styleId="BodyTextFirstIndentChar">
    <w:name w:val="Body Text First Indent Char"/>
    <w:basedOn w:val="BodyTextChar"/>
    <w:link w:val="BodyTextFirstIndent"/>
    <w:uiPriority w:val="99"/>
    <w:semiHidden/>
    <w:rsid w:val="001D78E5"/>
    <w:rPr>
      <w:sz w:val="20"/>
    </w:rPr>
  </w:style>
  <w:style w:type="paragraph" w:styleId="BodyTextIndent">
    <w:name w:val="Body Text Indent"/>
    <w:basedOn w:val="BodyText"/>
    <w:link w:val="BodyTextIndentChar"/>
    <w:uiPriority w:val="99"/>
    <w:semiHidden/>
    <w:rsid w:val="00227F89"/>
    <w:pPr>
      <w:ind w:left="567"/>
    </w:pPr>
  </w:style>
  <w:style w:type="character" w:customStyle="1" w:styleId="BodyTextIndentChar">
    <w:name w:val="Body Text Indent Char"/>
    <w:basedOn w:val="DefaultParagraphFont"/>
    <w:link w:val="BodyTextIndent"/>
    <w:uiPriority w:val="99"/>
    <w:semiHidden/>
    <w:rsid w:val="001D78E5"/>
    <w:rPr>
      <w:sz w:val="20"/>
    </w:rPr>
  </w:style>
  <w:style w:type="paragraph" w:styleId="BodyTextFirstIndent2">
    <w:name w:val="Body Text First Indent 2"/>
    <w:basedOn w:val="BodyText3"/>
    <w:link w:val="BodyTextFirstIndent2Char"/>
    <w:uiPriority w:val="99"/>
    <w:semiHidden/>
    <w:rsid w:val="008C0686"/>
    <w:pPr>
      <w:ind w:firstLine="284"/>
    </w:pPr>
  </w:style>
  <w:style w:type="character" w:customStyle="1" w:styleId="BodyTextFirstIndent2Char">
    <w:name w:val="Body Text First Indent 2 Char"/>
    <w:basedOn w:val="BodyTextIndentChar"/>
    <w:link w:val="BodyTextFirstIndent2"/>
    <w:uiPriority w:val="99"/>
    <w:semiHidden/>
    <w:rsid w:val="001D78E5"/>
    <w:rPr>
      <w:sz w:val="16"/>
    </w:rPr>
  </w:style>
  <w:style w:type="paragraph" w:styleId="BodyTextIndent2">
    <w:name w:val="Body Text Indent 2"/>
    <w:basedOn w:val="BodyText2"/>
    <w:link w:val="BodyTextIndent2Char"/>
    <w:uiPriority w:val="99"/>
    <w:semiHidden/>
    <w:rsid w:val="006C7FF8"/>
    <w:pPr>
      <w:ind w:left="567"/>
    </w:pPr>
  </w:style>
  <w:style w:type="character" w:customStyle="1" w:styleId="BodyTextIndent2Char">
    <w:name w:val="Body Text Indent 2 Char"/>
    <w:basedOn w:val="DefaultParagraphFont"/>
    <w:link w:val="BodyTextIndent2"/>
    <w:uiPriority w:val="99"/>
    <w:semiHidden/>
    <w:rsid w:val="001D78E5"/>
    <w:rPr>
      <w:sz w:val="20"/>
    </w:rPr>
  </w:style>
  <w:style w:type="paragraph" w:styleId="BodyTextIndent3">
    <w:name w:val="Body Text Indent 3"/>
    <w:basedOn w:val="BodyText3"/>
    <w:link w:val="BodyTextIndent3Char"/>
    <w:uiPriority w:val="99"/>
    <w:semiHidden/>
    <w:rsid w:val="008C0686"/>
    <w:pPr>
      <w:ind w:left="284"/>
    </w:pPr>
  </w:style>
  <w:style w:type="character" w:customStyle="1" w:styleId="BodyTextIndent3Char">
    <w:name w:val="Body Text Indent 3 Char"/>
    <w:basedOn w:val="DefaultParagraphFont"/>
    <w:link w:val="BodyTextIndent3"/>
    <w:uiPriority w:val="99"/>
    <w:semiHidden/>
    <w:rsid w:val="001D78E5"/>
    <w:rPr>
      <w:sz w:val="16"/>
    </w:rPr>
  </w:style>
  <w:style w:type="character" w:styleId="CommentReference">
    <w:name w:val="annotation reference"/>
    <w:basedOn w:val="CommentSubjectChar"/>
    <w:uiPriority w:val="99"/>
    <w:semiHidden/>
    <w:rsid w:val="006C7FF8"/>
    <w:rPr>
      <w:b/>
      <w:noProof/>
      <w:sz w:val="16"/>
    </w:rPr>
  </w:style>
  <w:style w:type="paragraph" w:styleId="CommentText">
    <w:name w:val="annotation text"/>
    <w:basedOn w:val="BodyText3"/>
    <w:link w:val="CommentTextChar"/>
    <w:uiPriority w:val="99"/>
    <w:semiHidden/>
    <w:rsid w:val="00DD49DD"/>
    <w:rPr>
      <w:noProof/>
    </w:rPr>
  </w:style>
  <w:style w:type="character" w:customStyle="1" w:styleId="CommentTextChar">
    <w:name w:val="Comment Text Char"/>
    <w:basedOn w:val="DefaultParagraphFont"/>
    <w:link w:val="CommentText"/>
    <w:uiPriority w:val="99"/>
    <w:semiHidden/>
    <w:rsid w:val="001D78E5"/>
    <w:rPr>
      <w:noProof/>
      <w:sz w:val="16"/>
    </w:rPr>
  </w:style>
  <w:style w:type="paragraph" w:styleId="CommentSubject">
    <w:name w:val="annotation subject"/>
    <w:basedOn w:val="CommentText"/>
    <w:next w:val="CommentText"/>
    <w:link w:val="CommentSubjectChar"/>
    <w:uiPriority w:val="99"/>
    <w:semiHidden/>
    <w:rsid w:val="000E1194"/>
    <w:rPr>
      <w:b/>
    </w:rPr>
  </w:style>
  <w:style w:type="character" w:customStyle="1" w:styleId="CommentSubjectChar">
    <w:name w:val="Comment Subject Char"/>
    <w:basedOn w:val="CommentTextChar"/>
    <w:link w:val="CommentSubject"/>
    <w:uiPriority w:val="99"/>
    <w:semiHidden/>
    <w:rsid w:val="001D78E5"/>
    <w:rPr>
      <w:b/>
      <w:noProof/>
      <w:sz w:val="16"/>
    </w:rPr>
  </w:style>
  <w:style w:type="paragraph" w:styleId="BalloonText">
    <w:name w:val="Balloon Text"/>
    <w:basedOn w:val="CommentText"/>
    <w:link w:val="BalloonTextChar"/>
    <w:uiPriority w:val="99"/>
    <w:semiHidden/>
    <w:rsid w:val="000E1194"/>
  </w:style>
  <w:style w:type="character" w:customStyle="1" w:styleId="BalloonTextChar">
    <w:name w:val="Balloon Text Char"/>
    <w:basedOn w:val="DefaultParagraphFont"/>
    <w:link w:val="BalloonText"/>
    <w:uiPriority w:val="99"/>
    <w:semiHidden/>
    <w:rsid w:val="001D78E5"/>
    <w:rPr>
      <w:noProof/>
      <w:sz w:val="16"/>
    </w:rPr>
  </w:style>
  <w:style w:type="paragraph" w:styleId="DocumentMap">
    <w:name w:val="Document Map"/>
    <w:basedOn w:val="BodyText3"/>
    <w:link w:val="DocumentMapChar"/>
    <w:uiPriority w:val="99"/>
    <w:semiHidden/>
    <w:rsid w:val="000E1194"/>
  </w:style>
  <w:style w:type="character" w:customStyle="1" w:styleId="DocumentMapChar">
    <w:name w:val="Document Map Char"/>
    <w:basedOn w:val="DefaultParagraphFont"/>
    <w:link w:val="DocumentMap"/>
    <w:uiPriority w:val="99"/>
    <w:semiHidden/>
    <w:rsid w:val="001D78E5"/>
    <w:rPr>
      <w:sz w:val="16"/>
    </w:rPr>
  </w:style>
  <w:style w:type="paragraph" w:styleId="Closing">
    <w:name w:val="Closing"/>
    <w:basedOn w:val="Normal"/>
    <w:link w:val="ClosingChar"/>
    <w:uiPriority w:val="99"/>
    <w:semiHidden/>
    <w:rsid w:val="000E1194"/>
  </w:style>
  <w:style w:type="character" w:customStyle="1" w:styleId="ClosingChar">
    <w:name w:val="Closing Char"/>
    <w:basedOn w:val="DefaultParagraphFont"/>
    <w:link w:val="Closing"/>
    <w:uiPriority w:val="99"/>
    <w:semiHidden/>
    <w:rsid w:val="001D78E5"/>
    <w:rPr>
      <w:sz w:val="20"/>
    </w:rPr>
  </w:style>
  <w:style w:type="paragraph" w:styleId="EmailSignature">
    <w:name w:val="E-mail Signature"/>
    <w:basedOn w:val="Signature"/>
    <w:link w:val="EmailSignatureChar"/>
    <w:uiPriority w:val="99"/>
    <w:semiHidden/>
    <w:rsid w:val="00BB1312"/>
  </w:style>
  <w:style w:type="character" w:customStyle="1" w:styleId="EmailSignatureChar">
    <w:name w:val="Email Signature Char"/>
    <w:basedOn w:val="DefaultParagraphFont"/>
    <w:link w:val="EmailSignature"/>
    <w:uiPriority w:val="99"/>
    <w:semiHidden/>
    <w:rsid w:val="001D78E5"/>
    <w:rPr>
      <w:sz w:val="20"/>
    </w:rPr>
  </w:style>
  <w:style w:type="paragraph" w:styleId="EndnoteText">
    <w:name w:val="endnote text"/>
    <w:basedOn w:val="FootnoteText"/>
    <w:link w:val="EndnoteTextChar"/>
    <w:uiPriority w:val="99"/>
    <w:semiHidden/>
    <w:rsid w:val="000E1194"/>
  </w:style>
  <w:style w:type="character" w:customStyle="1" w:styleId="EndnoteTextChar">
    <w:name w:val="Endnote Text Char"/>
    <w:basedOn w:val="DefaultParagraphFont"/>
    <w:link w:val="EndnoteText"/>
    <w:uiPriority w:val="99"/>
    <w:semiHidden/>
    <w:rsid w:val="001D78E5"/>
    <w:rPr>
      <w:sz w:val="16"/>
    </w:rPr>
  </w:style>
  <w:style w:type="character" w:styleId="EndnoteReference">
    <w:name w:val="endnote reference"/>
    <w:basedOn w:val="FootnoteReference"/>
    <w:uiPriority w:val="99"/>
    <w:semiHidden/>
    <w:rsid w:val="008C0686"/>
    <w:rPr>
      <w:color w:val="AD003D" w:themeColor="accent1"/>
      <w:sz w:val="20"/>
      <w:vertAlign w:val="superscript"/>
    </w:rPr>
  </w:style>
  <w:style w:type="paragraph" w:styleId="Signature">
    <w:name w:val="Signature"/>
    <w:basedOn w:val="NoSpacing"/>
    <w:link w:val="SignatureChar"/>
    <w:uiPriority w:val="99"/>
    <w:semiHidden/>
    <w:rsid w:val="000A6849"/>
  </w:style>
  <w:style w:type="character" w:customStyle="1" w:styleId="SignatureChar">
    <w:name w:val="Signature Char"/>
    <w:basedOn w:val="DefaultParagraphFont"/>
    <w:link w:val="Signature"/>
    <w:uiPriority w:val="99"/>
    <w:semiHidden/>
    <w:rsid w:val="001D78E5"/>
    <w:rPr>
      <w:sz w:val="20"/>
    </w:rPr>
  </w:style>
  <w:style w:type="paragraph" w:styleId="Salutation">
    <w:name w:val="Salutation"/>
    <w:basedOn w:val="Normal"/>
    <w:next w:val="Normal"/>
    <w:link w:val="SalutationChar"/>
    <w:uiPriority w:val="99"/>
    <w:semiHidden/>
    <w:rsid w:val="000E1194"/>
  </w:style>
  <w:style w:type="character" w:customStyle="1" w:styleId="SalutationChar">
    <w:name w:val="Salutation Char"/>
    <w:basedOn w:val="DefaultParagraphFont"/>
    <w:link w:val="Salutation"/>
    <w:uiPriority w:val="99"/>
    <w:semiHidden/>
    <w:rsid w:val="001D78E5"/>
    <w:rPr>
      <w:sz w:val="20"/>
    </w:rPr>
  </w:style>
  <w:style w:type="character" w:styleId="BookTitle">
    <w:name w:val="Book Title"/>
    <w:uiPriority w:val="33"/>
    <w:unhideWhenUsed/>
    <w:rsid w:val="00227F89"/>
    <w:rPr>
      <w:i/>
    </w:rPr>
  </w:style>
  <w:style w:type="character" w:styleId="IntenseReference">
    <w:name w:val="Intense Reference"/>
    <w:basedOn w:val="SubtleReference"/>
    <w:uiPriority w:val="32"/>
    <w:semiHidden/>
    <w:rsid w:val="005424C3"/>
    <w:rPr>
      <w:i/>
      <w:color w:val="AD003D" w:themeColor="accent1"/>
    </w:rPr>
  </w:style>
  <w:style w:type="character" w:styleId="SubtleReference">
    <w:name w:val="Subtle Reference"/>
    <w:basedOn w:val="BookTitle"/>
    <w:uiPriority w:val="31"/>
    <w:semiHidden/>
    <w:rsid w:val="005424C3"/>
    <w:rPr>
      <w:i/>
      <w:color w:val="7F7F7F" w:themeColor="text1" w:themeTint="80"/>
    </w:rPr>
  </w:style>
  <w:style w:type="paragraph" w:styleId="Index1">
    <w:name w:val="index 1"/>
    <w:basedOn w:val="TOC1"/>
    <w:next w:val="Normal"/>
    <w:autoRedefine/>
    <w:uiPriority w:val="99"/>
    <w:semiHidden/>
    <w:rsid w:val="00BB1312"/>
    <w:pPr>
      <w:tabs>
        <w:tab w:val="clear" w:pos="9639"/>
        <w:tab w:val="right" w:leader="dot" w:pos="9628"/>
      </w:tabs>
    </w:pPr>
  </w:style>
  <w:style w:type="paragraph" w:styleId="IndexHeading">
    <w:name w:val="index heading"/>
    <w:basedOn w:val="Heading1BodyText"/>
    <w:next w:val="Index1"/>
    <w:uiPriority w:val="99"/>
    <w:semiHidden/>
    <w:rsid w:val="005424C3"/>
  </w:style>
  <w:style w:type="paragraph" w:styleId="EnvelopeAddress">
    <w:name w:val="envelope address"/>
    <w:basedOn w:val="Normal"/>
    <w:uiPriority w:val="99"/>
    <w:semiHidden/>
    <w:rsid w:val="00BB1312"/>
    <w:pPr>
      <w:framePr w:hSpace="567" w:wrap="notBeside" w:vAnchor="text" w:hAnchor="text" w:xAlign="right" w:y="1" w:anchorLock="1"/>
      <w:contextualSpacing/>
    </w:pPr>
  </w:style>
  <w:style w:type="paragraph" w:styleId="EnvelopeReturn">
    <w:name w:val="envelope return"/>
    <w:basedOn w:val="EnvelopeAddress"/>
    <w:uiPriority w:val="99"/>
    <w:semiHidden/>
    <w:rsid w:val="006C7FF8"/>
    <w:pPr>
      <w:framePr w:wrap="notBeside"/>
    </w:pPr>
  </w:style>
  <w:style w:type="character" w:styleId="HTMLAcronym">
    <w:name w:val="HTML Acronym"/>
    <w:basedOn w:val="BookTitle"/>
    <w:uiPriority w:val="99"/>
    <w:semiHidden/>
    <w:rsid w:val="008C0686"/>
    <w:rPr>
      <w:i/>
    </w:rPr>
  </w:style>
  <w:style w:type="paragraph" w:styleId="HTMLAddress">
    <w:name w:val="HTML Address"/>
    <w:basedOn w:val="Normal"/>
    <w:link w:val="HTMLAddressChar"/>
    <w:uiPriority w:val="99"/>
    <w:semiHidden/>
    <w:rsid w:val="00BB1312"/>
    <w:rPr>
      <w:rFonts w:ascii="Arial Narrow" w:hAnsi="Arial Narrow"/>
      <w:color w:val="5E3482" w:themeColor="accent2"/>
    </w:rPr>
  </w:style>
  <w:style w:type="character" w:customStyle="1" w:styleId="HTMLAddressChar">
    <w:name w:val="HTML Address Char"/>
    <w:basedOn w:val="DefaultParagraphFont"/>
    <w:link w:val="HTMLAddress"/>
    <w:uiPriority w:val="99"/>
    <w:semiHidden/>
    <w:rsid w:val="001D78E5"/>
    <w:rPr>
      <w:rFonts w:ascii="Arial Narrow" w:hAnsi="Arial Narrow"/>
      <w:color w:val="5E3482" w:themeColor="accent2"/>
      <w:sz w:val="20"/>
    </w:rPr>
  </w:style>
  <w:style w:type="character" w:styleId="HTMLCite">
    <w:name w:val="HTML Cite"/>
    <w:basedOn w:val="BookTitle"/>
    <w:uiPriority w:val="99"/>
    <w:semiHidden/>
    <w:rsid w:val="008C0686"/>
    <w:rPr>
      <w:i/>
    </w:rPr>
  </w:style>
  <w:style w:type="paragraph" w:styleId="PlainText">
    <w:name w:val="Plain Text"/>
    <w:basedOn w:val="Normal"/>
    <w:link w:val="PlainTextChar"/>
    <w:uiPriority w:val="99"/>
    <w:semiHidden/>
    <w:rsid w:val="00C96A49"/>
    <w:rPr>
      <w:rFonts w:ascii="Source Code Pro" w:hAnsi="Source Code Pro"/>
      <w:lang w:eastAsia="en-GB"/>
    </w:rPr>
  </w:style>
  <w:style w:type="character" w:customStyle="1" w:styleId="PlainTextChar">
    <w:name w:val="Plain Text Char"/>
    <w:basedOn w:val="DefaultParagraphFont"/>
    <w:link w:val="PlainText"/>
    <w:uiPriority w:val="99"/>
    <w:semiHidden/>
    <w:rsid w:val="00C96A49"/>
    <w:rPr>
      <w:rFonts w:ascii="Source Code Pro" w:hAnsi="Source Code Pro"/>
      <w:kern w:val="20"/>
      <w:sz w:val="20"/>
      <w:lang w:eastAsia="en-GB"/>
      <w14:ligatures w14:val="standardContextual"/>
      <w14:numForm w14:val="lining"/>
      <w14:numSpacing w14:val="tabular"/>
      <w14:cntxtAlts/>
    </w:rPr>
  </w:style>
  <w:style w:type="paragraph" w:styleId="MacroText">
    <w:name w:val="macro"/>
    <w:basedOn w:val="PlainText"/>
    <w:link w:val="MacroTextChar"/>
    <w:uiPriority w:val="99"/>
    <w:semiHidden/>
    <w:rsid w:val="008C0686"/>
  </w:style>
  <w:style w:type="character" w:customStyle="1" w:styleId="MacroTextChar">
    <w:name w:val="Macro Text Char"/>
    <w:basedOn w:val="DefaultParagraphFont"/>
    <w:link w:val="MacroText"/>
    <w:uiPriority w:val="99"/>
    <w:semiHidden/>
    <w:rsid w:val="001D78E5"/>
    <w:rPr>
      <w:rFonts w:ascii="Consolas" w:hAnsi="Consolas"/>
      <w:sz w:val="20"/>
      <w:lang w:eastAsia="en-GB"/>
    </w:rPr>
  </w:style>
  <w:style w:type="character" w:styleId="HTMLCode">
    <w:name w:val="HTML Code"/>
    <w:basedOn w:val="PlainTextChar"/>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Sample">
    <w:name w:val="HTML Sample"/>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Typewriter">
    <w:name w:val="HTML Typewriter"/>
    <w:basedOn w:val="HTMLKeyboard"/>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Keyboard">
    <w:name w:val="HTML Keyboard"/>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paragraph" w:styleId="HTMLPreformatted">
    <w:name w:val="HTML Preformatted"/>
    <w:basedOn w:val="PlainText"/>
    <w:link w:val="HTMLPreformattedChar"/>
    <w:uiPriority w:val="99"/>
    <w:semiHidden/>
    <w:rsid w:val="006C7FF8"/>
  </w:style>
  <w:style w:type="character" w:customStyle="1" w:styleId="HTMLPreformattedChar">
    <w:name w:val="HTML Preformatted Char"/>
    <w:basedOn w:val="DefaultParagraphFont"/>
    <w:link w:val="HTMLPreformatted"/>
    <w:uiPriority w:val="99"/>
    <w:semiHidden/>
    <w:rsid w:val="001D78E5"/>
    <w:rPr>
      <w:rFonts w:ascii="Consolas" w:hAnsi="Consolas"/>
      <w:sz w:val="20"/>
      <w:lang w:eastAsia="en-GB"/>
    </w:rPr>
  </w:style>
  <w:style w:type="character" w:styleId="HTMLVariable">
    <w:name w:val="HTML Variable"/>
    <w:basedOn w:val="HTMLCode"/>
    <w:uiPriority w:val="99"/>
    <w:semiHidden/>
    <w:rsid w:val="00C96A49"/>
    <w:rPr>
      <w:rFonts w:ascii="Source Code Pro" w:hAnsi="Source Code Pro"/>
      <w:noProof/>
      <w:color w:val="AD003D" w:themeColor="accent1"/>
      <w:kern w:val="20"/>
      <w:sz w:val="20"/>
      <w:lang w:val="en-GB" w:eastAsia="en-GB"/>
      <w14:ligatures w14:val="standardContextual"/>
      <w14:numForm w14:val="lining"/>
      <w14:numSpacing w14:val="tabular"/>
      <w14:cntxtAlts/>
    </w:rPr>
  </w:style>
  <w:style w:type="paragraph" w:styleId="NormalIndent">
    <w:name w:val="Normal Indent"/>
    <w:basedOn w:val="BodyTextIndent"/>
    <w:uiPriority w:val="99"/>
    <w:semiHidden/>
    <w:rsid w:val="006C7FF8"/>
  </w:style>
  <w:style w:type="paragraph" w:styleId="Date">
    <w:name w:val="Date"/>
    <w:basedOn w:val="Normal"/>
    <w:next w:val="Normal"/>
    <w:link w:val="DateChar"/>
    <w:uiPriority w:val="99"/>
    <w:semiHidden/>
    <w:rsid w:val="006C7FF8"/>
  </w:style>
  <w:style w:type="character" w:customStyle="1" w:styleId="DateChar">
    <w:name w:val="Date Char"/>
    <w:basedOn w:val="DefaultParagraphFont"/>
    <w:link w:val="Date"/>
    <w:uiPriority w:val="99"/>
    <w:semiHidden/>
    <w:rsid w:val="001D78E5"/>
    <w:rPr>
      <w:sz w:val="20"/>
    </w:rPr>
  </w:style>
  <w:style w:type="character" w:styleId="FollowedHyperlink">
    <w:name w:val="FollowedHyperlink"/>
    <w:basedOn w:val="DefaultParagraphFont"/>
    <w:uiPriority w:val="99"/>
    <w:semiHidden/>
    <w:rsid w:val="00BB1312"/>
    <w:rPr>
      <w:color w:val="0D5A4A" w:themeColor="followedHyperlink"/>
      <w:u w:val="none"/>
    </w:rPr>
  </w:style>
  <w:style w:type="paragraph" w:styleId="Index2">
    <w:name w:val="index 2"/>
    <w:basedOn w:val="TOC2"/>
    <w:next w:val="Normal"/>
    <w:autoRedefine/>
    <w:uiPriority w:val="99"/>
    <w:semiHidden/>
    <w:rsid w:val="00BB1312"/>
    <w:pPr>
      <w:tabs>
        <w:tab w:val="clear" w:pos="9639"/>
        <w:tab w:val="right" w:leader="dot" w:pos="9628"/>
      </w:tabs>
    </w:pPr>
  </w:style>
  <w:style w:type="paragraph" w:styleId="Index3">
    <w:name w:val="index 3"/>
    <w:basedOn w:val="TOC3"/>
    <w:next w:val="Normal"/>
    <w:autoRedefine/>
    <w:uiPriority w:val="99"/>
    <w:semiHidden/>
    <w:rsid w:val="00BB1312"/>
    <w:pPr>
      <w:tabs>
        <w:tab w:val="clear" w:pos="9639"/>
        <w:tab w:val="right" w:leader="dot" w:pos="9628"/>
      </w:tabs>
    </w:pPr>
  </w:style>
  <w:style w:type="paragraph" w:styleId="Index4">
    <w:name w:val="index 4"/>
    <w:basedOn w:val="TOC4"/>
    <w:next w:val="Normal"/>
    <w:autoRedefine/>
    <w:uiPriority w:val="99"/>
    <w:semiHidden/>
    <w:rsid w:val="00BB1312"/>
    <w:pPr>
      <w:tabs>
        <w:tab w:val="clear" w:pos="9639"/>
        <w:tab w:val="right" w:leader="dot" w:pos="9628"/>
      </w:tabs>
    </w:pPr>
  </w:style>
  <w:style w:type="paragraph" w:styleId="Index5">
    <w:name w:val="index 5"/>
    <w:basedOn w:val="TOC5"/>
    <w:next w:val="Normal"/>
    <w:autoRedefine/>
    <w:uiPriority w:val="99"/>
    <w:semiHidden/>
    <w:rsid w:val="00BB1312"/>
    <w:pPr>
      <w:tabs>
        <w:tab w:val="clear" w:pos="9639"/>
        <w:tab w:val="right" w:leader="dot" w:pos="9628"/>
      </w:tabs>
    </w:pPr>
  </w:style>
  <w:style w:type="paragraph" w:styleId="Index6">
    <w:name w:val="index 6"/>
    <w:basedOn w:val="TOC6"/>
    <w:next w:val="Normal"/>
    <w:autoRedefine/>
    <w:uiPriority w:val="99"/>
    <w:semiHidden/>
    <w:rsid w:val="00BB1312"/>
    <w:pPr>
      <w:tabs>
        <w:tab w:val="clear" w:pos="9639"/>
        <w:tab w:val="right" w:leader="dot" w:pos="9628"/>
      </w:tabs>
    </w:pPr>
  </w:style>
  <w:style w:type="paragraph" w:styleId="Index7">
    <w:name w:val="index 7"/>
    <w:basedOn w:val="TOC7"/>
    <w:next w:val="Normal"/>
    <w:autoRedefine/>
    <w:uiPriority w:val="99"/>
    <w:semiHidden/>
    <w:rsid w:val="00BB1312"/>
    <w:pPr>
      <w:tabs>
        <w:tab w:val="clear" w:pos="9639"/>
        <w:tab w:val="right" w:leader="dot" w:pos="9628"/>
      </w:tabs>
    </w:pPr>
  </w:style>
  <w:style w:type="paragraph" w:styleId="Index8">
    <w:name w:val="index 8"/>
    <w:basedOn w:val="TOC8"/>
    <w:next w:val="Normal"/>
    <w:autoRedefine/>
    <w:uiPriority w:val="99"/>
    <w:semiHidden/>
    <w:rsid w:val="00BB1312"/>
    <w:pPr>
      <w:tabs>
        <w:tab w:val="clear" w:pos="9639"/>
        <w:tab w:val="right" w:leader="dot" w:pos="9628"/>
      </w:tabs>
    </w:pPr>
  </w:style>
  <w:style w:type="paragraph" w:styleId="Index9">
    <w:name w:val="index 9"/>
    <w:basedOn w:val="TOC9"/>
    <w:next w:val="Normal"/>
    <w:autoRedefine/>
    <w:uiPriority w:val="99"/>
    <w:semiHidden/>
    <w:rsid w:val="00BB1312"/>
    <w:pPr>
      <w:tabs>
        <w:tab w:val="clear" w:pos="9639"/>
        <w:tab w:val="right" w:leader="dot" w:pos="9628"/>
      </w:tabs>
    </w:pPr>
  </w:style>
  <w:style w:type="character" w:styleId="LineNumber">
    <w:name w:val="line number"/>
    <w:basedOn w:val="PageNumber"/>
    <w:uiPriority w:val="99"/>
    <w:semiHidden/>
    <w:rsid w:val="00BB1312"/>
    <w:rPr>
      <w:color w:val="auto"/>
      <w:sz w:val="16"/>
    </w:rPr>
  </w:style>
  <w:style w:type="character" w:styleId="Emphasis">
    <w:name w:val="Emphasis"/>
    <w:basedOn w:val="DefaultParagraphFont"/>
    <w:uiPriority w:val="20"/>
    <w:rsid w:val="00BB1312"/>
    <w:rPr>
      <w:i/>
      <w:iCs/>
    </w:rPr>
  </w:style>
  <w:style w:type="character" w:styleId="PageNumber">
    <w:name w:val="page number"/>
    <w:basedOn w:val="FooterChar"/>
    <w:uiPriority w:val="99"/>
    <w:semiHidden/>
    <w:rsid w:val="00CE4209"/>
    <w:rPr>
      <w:color w:val="auto"/>
      <w:sz w:val="16"/>
    </w:rPr>
  </w:style>
  <w:style w:type="paragraph" w:styleId="List">
    <w:name w:val="List"/>
    <w:basedOn w:val="ListParagraph"/>
    <w:uiPriority w:val="99"/>
    <w:semiHidden/>
    <w:rsid w:val="00BB1312"/>
  </w:style>
  <w:style w:type="paragraph" w:styleId="List2">
    <w:name w:val="List 2"/>
    <w:basedOn w:val="List"/>
    <w:uiPriority w:val="99"/>
    <w:semiHidden/>
    <w:rsid w:val="00CC7BFE"/>
    <w:pPr>
      <w:ind w:left="1134"/>
    </w:pPr>
  </w:style>
  <w:style w:type="paragraph" w:styleId="List3">
    <w:name w:val="List 3"/>
    <w:basedOn w:val="List"/>
    <w:uiPriority w:val="99"/>
    <w:semiHidden/>
    <w:rsid w:val="00CC7BFE"/>
    <w:pPr>
      <w:ind w:left="1701"/>
    </w:pPr>
  </w:style>
  <w:style w:type="paragraph" w:styleId="List4">
    <w:name w:val="List 4"/>
    <w:basedOn w:val="List"/>
    <w:uiPriority w:val="99"/>
    <w:semiHidden/>
    <w:rsid w:val="00CC7BFE"/>
    <w:pPr>
      <w:ind w:left="2268"/>
    </w:pPr>
  </w:style>
  <w:style w:type="paragraph" w:styleId="List5">
    <w:name w:val="List 5"/>
    <w:basedOn w:val="List"/>
    <w:uiPriority w:val="99"/>
    <w:semiHidden/>
    <w:rsid w:val="00CC7BFE"/>
    <w:pPr>
      <w:ind w:left="2835"/>
    </w:pPr>
  </w:style>
  <w:style w:type="paragraph" w:styleId="ListBullet">
    <w:name w:val="List Bullet"/>
    <w:basedOn w:val="ListParagraph"/>
    <w:uiPriority w:val="99"/>
    <w:semiHidden/>
    <w:rsid w:val="00CC7BFE"/>
    <w:pPr>
      <w:numPr>
        <w:numId w:val="13"/>
      </w:numPr>
    </w:pPr>
  </w:style>
  <w:style w:type="paragraph" w:styleId="ListBullet2">
    <w:name w:val="List Bullet 2"/>
    <w:basedOn w:val="ListBullet"/>
    <w:uiPriority w:val="99"/>
    <w:semiHidden/>
    <w:rsid w:val="00CC7BFE"/>
    <w:pPr>
      <w:numPr>
        <w:ilvl w:val="1"/>
      </w:numPr>
    </w:pPr>
  </w:style>
  <w:style w:type="paragraph" w:styleId="ListBullet3">
    <w:name w:val="List Bullet 3"/>
    <w:basedOn w:val="ListBullet2"/>
    <w:uiPriority w:val="99"/>
    <w:semiHidden/>
    <w:rsid w:val="00CC7BFE"/>
    <w:pPr>
      <w:numPr>
        <w:ilvl w:val="2"/>
      </w:numPr>
    </w:pPr>
  </w:style>
  <w:style w:type="paragraph" w:styleId="ListBullet4">
    <w:name w:val="List Bullet 4"/>
    <w:basedOn w:val="ListBullet3"/>
    <w:uiPriority w:val="99"/>
    <w:semiHidden/>
    <w:rsid w:val="00CC7BFE"/>
    <w:pPr>
      <w:numPr>
        <w:ilvl w:val="3"/>
      </w:numPr>
    </w:pPr>
  </w:style>
  <w:style w:type="paragraph" w:styleId="ListBullet5">
    <w:name w:val="List Bullet 5"/>
    <w:basedOn w:val="ListBullet4"/>
    <w:uiPriority w:val="99"/>
    <w:semiHidden/>
    <w:rsid w:val="00CC7BFE"/>
    <w:pPr>
      <w:numPr>
        <w:ilvl w:val="4"/>
      </w:numPr>
    </w:pPr>
  </w:style>
  <w:style w:type="paragraph" w:styleId="ListContinue">
    <w:name w:val="List Continue"/>
    <w:basedOn w:val="List"/>
    <w:uiPriority w:val="99"/>
    <w:semiHidden/>
    <w:rsid w:val="00BB1312"/>
  </w:style>
  <w:style w:type="paragraph" w:styleId="ListContinue2">
    <w:name w:val="List Continue 2"/>
    <w:basedOn w:val="List2"/>
    <w:uiPriority w:val="99"/>
    <w:semiHidden/>
    <w:rsid w:val="00BB1312"/>
  </w:style>
  <w:style w:type="paragraph" w:styleId="ListContinue3">
    <w:name w:val="List Continue 3"/>
    <w:basedOn w:val="List3"/>
    <w:uiPriority w:val="99"/>
    <w:semiHidden/>
    <w:rsid w:val="00CC7BFE"/>
  </w:style>
  <w:style w:type="paragraph" w:styleId="ListContinue4">
    <w:name w:val="List Continue 4"/>
    <w:basedOn w:val="List4"/>
    <w:uiPriority w:val="99"/>
    <w:semiHidden/>
    <w:rsid w:val="00CC7BFE"/>
  </w:style>
  <w:style w:type="paragraph" w:styleId="ListContinue5">
    <w:name w:val="List Continue 5"/>
    <w:basedOn w:val="List5"/>
    <w:uiPriority w:val="99"/>
    <w:semiHidden/>
    <w:rsid w:val="00CC7BFE"/>
  </w:style>
  <w:style w:type="paragraph" w:styleId="ListNumber">
    <w:name w:val="List Number"/>
    <w:basedOn w:val="ListParagraph"/>
    <w:uiPriority w:val="99"/>
    <w:semiHidden/>
    <w:rsid w:val="00CC7BFE"/>
    <w:pPr>
      <w:numPr>
        <w:numId w:val="14"/>
      </w:numPr>
    </w:pPr>
  </w:style>
  <w:style w:type="paragraph" w:styleId="ListNumber2">
    <w:name w:val="List Number 2"/>
    <w:basedOn w:val="ListNumber"/>
    <w:uiPriority w:val="99"/>
    <w:semiHidden/>
    <w:rsid w:val="00CC7BFE"/>
    <w:pPr>
      <w:numPr>
        <w:ilvl w:val="1"/>
      </w:numPr>
    </w:pPr>
  </w:style>
  <w:style w:type="paragraph" w:styleId="ListNumber3">
    <w:name w:val="List Number 3"/>
    <w:basedOn w:val="ListNumber2"/>
    <w:uiPriority w:val="99"/>
    <w:semiHidden/>
    <w:rsid w:val="00CC7BFE"/>
    <w:pPr>
      <w:numPr>
        <w:ilvl w:val="2"/>
      </w:numPr>
    </w:pPr>
  </w:style>
  <w:style w:type="paragraph" w:styleId="ListNumber4">
    <w:name w:val="List Number 4"/>
    <w:basedOn w:val="ListNumber3"/>
    <w:uiPriority w:val="99"/>
    <w:semiHidden/>
    <w:rsid w:val="00CC7BFE"/>
    <w:pPr>
      <w:numPr>
        <w:ilvl w:val="3"/>
      </w:numPr>
    </w:pPr>
  </w:style>
  <w:style w:type="paragraph" w:styleId="ListNumber5">
    <w:name w:val="List Number 5"/>
    <w:basedOn w:val="ListNumber4"/>
    <w:uiPriority w:val="99"/>
    <w:semiHidden/>
    <w:rsid w:val="00CC7BFE"/>
    <w:pPr>
      <w:numPr>
        <w:ilvl w:val="4"/>
      </w:numPr>
    </w:pPr>
  </w:style>
  <w:style w:type="paragraph" w:styleId="MessageHeader">
    <w:name w:val="Message Header"/>
    <w:basedOn w:val="Heading1BodyText"/>
    <w:link w:val="MessageHeaderChar"/>
    <w:uiPriority w:val="99"/>
    <w:semiHidden/>
    <w:rsid w:val="005424C3"/>
  </w:style>
  <w:style w:type="character" w:customStyle="1" w:styleId="MessageHeaderChar">
    <w:name w:val="Message Header Char"/>
    <w:basedOn w:val="DefaultParagraphFont"/>
    <w:link w:val="MessageHeader"/>
    <w:uiPriority w:val="99"/>
    <w:semiHidden/>
    <w:rsid w:val="001D78E5"/>
    <w:rPr>
      <w:rFonts w:asciiTheme="majorHAnsi" w:hAnsiTheme="majorHAnsi"/>
      <w:color w:val="870034" w:themeColor="text2"/>
      <w:sz w:val="40"/>
    </w:rPr>
  </w:style>
  <w:style w:type="paragraph" w:styleId="NormalWeb">
    <w:name w:val="Normal (Web)"/>
    <w:basedOn w:val="Normal"/>
    <w:uiPriority w:val="99"/>
    <w:semiHidden/>
    <w:rsid w:val="005424C3"/>
    <w:rPr>
      <w:rFonts w:ascii="Tahoma" w:hAnsi="Tahoma"/>
    </w:rPr>
  </w:style>
  <w:style w:type="paragraph" w:styleId="NoteHeading">
    <w:name w:val="Note Heading"/>
    <w:basedOn w:val="Heading1BodyText"/>
    <w:next w:val="Normal"/>
    <w:link w:val="NoteHeadingChar"/>
    <w:uiPriority w:val="99"/>
    <w:semiHidden/>
    <w:rsid w:val="005424C3"/>
  </w:style>
  <w:style w:type="character" w:customStyle="1" w:styleId="NoteHeadingChar">
    <w:name w:val="Note Heading Char"/>
    <w:basedOn w:val="DefaultParagraphFont"/>
    <w:link w:val="NoteHeading"/>
    <w:uiPriority w:val="99"/>
    <w:semiHidden/>
    <w:rsid w:val="001D78E5"/>
    <w:rPr>
      <w:rFonts w:asciiTheme="majorHAnsi" w:hAnsiTheme="majorHAnsi"/>
      <w:color w:val="870034" w:themeColor="text2"/>
      <w:sz w:val="40"/>
    </w:rPr>
  </w:style>
  <w:style w:type="paragraph" w:customStyle="1" w:styleId="Heading1BodyText">
    <w:name w:val="Heading 1 (Body Text)"/>
    <w:basedOn w:val="Heading1"/>
    <w:next w:val="Normal"/>
    <w:uiPriority w:val="10"/>
    <w:semiHidden/>
    <w:rsid w:val="005424C3"/>
    <w:pPr>
      <w:outlineLvl w:val="9"/>
    </w:pPr>
  </w:style>
  <w:style w:type="character" w:styleId="Mention">
    <w:name w:val="Mention"/>
    <w:uiPriority w:val="99"/>
    <w:semiHidden/>
    <w:rsid w:val="005424C3"/>
  </w:style>
  <w:style w:type="character" w:styleId="SmartHyperlink">
    <w:name w:val="Smart Hyperlink"/>
    <w:basedOn w:val="Hyperlink"/>
    <w:uiPriority w:val="99"/>
    <w:semiHidden/>
    <w:rsid w:val="005424C3"/>
    <w:rPr>
      <w:color w:val="0D5A4A" w:themeColor="hyperlink"/>
      <w:u w:val="none" w:color="3D8B7A"/>
    </w:rPr>
  </w:style>
  <w:style w:type="table" w:styleId="GridTable2-Accent1">
    <w:name w:val="Grid Table 2 Accent 1"/>
    <w:basedOn w:val="TableNormal"/>
    <w:uiPriority w:val="47"/>
    <w:rsid w:val="00C96A49"/>
    <w:pPr>
      <w:spacing w:after="0" w:line="240" w:lineRule="auto"/>
    </w:pPr>
    <w:tblPr>
      <w:tblStyleRowBandSize w:val="1"/>
      <w:tblStyleColBandSize w:val="1"/>
      <w:tblBorders>
        <w:top w:val="single" w:sz="2" w:space="0" w:color="FF347B" w:themeColor="accent1" w:themeTint="99"/>
        <w:bottom w:val="single" w:sz="2" w:space="0" w:color="FF347B" w:themeColor="accent1" w:themeTint="99"/>
        <w:insideH w:val="single" w:sz="2" w:space="0" w:color="FF347B" w:themeColor="accent1" w:themeTint="99"/>
        <w:insideV w:val="single" w:sz="2" w:space="0" w:color="FF347B" w:themeColor="accent1" w:themeTint="99"/>
      </w:tblBorders>
    </w:tblPr>
    <w:tblStylePr w:type="firstRow">
      <w:rPr>
        <w:b/>
        <w:bCs/>
      </w:rPr>
      <w:tblPr/>
      <w:tcPr>
        <w:tcBorders>
          <w:top w:val="nil"/>
          <w:bottom w:val="single" w:sz="12" w:space="0" w:color="FF347B" w:themeColor="accent1" w:themeTint="99"/>
          <w:insideH w:val="nil"/>
          <w:insideV w:val="nil"/>
        </w:tcBorders>
        <w:shd w:val="clear" w:color="auto" w:fill="FFFFFF" w:themeFill="background1"/>
      </w:tcPr>
    </w:tblStylePr>
    <w:tblStylePr w:type="lastRow">
      <w:rPr>
        <w:b/>
        <w:bCs/>
      </w:rPr>
      <w:tblPr/>
      <w:tcPr>
        <w:tcBorders>
          <w:top w:val="double" w:sz="2" w:space="0" w:color="FF34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BD2" w:themeFill="accent1" w:themeFillTint="33"/>
      </w:tcPr>
    </w:tblStylePr>
    <w:tblStylePr w:type="band1Horz">
      <w:tblPr/>
      <w:tcPr>
        <w:shd w:val="clear" w:color="auto" w:fill="FFBBD2" w:themeFill="accent1" w:themeFillTint="33"/>
      </w:tcPr>
    </w:tblStylePr>
  </w:style>
  <w:style w:type="character" w:styleId="PlaceholderText">
    <w:name w:val="Placeholder Text"/>
    <w:basedOn w:val="DefaultParagraphFont"/>
    <w:uiPriority w:val="99"/>
    <w:semiHidden/>
    <w:rsid w:val="00CE4209"/>
    <w:rPr>
      <w:color w:val="808080"/>
    </w:rPr>
  </w:style>
  <w:style w:type="numbering" w:customStyle="1" w:styleId="OrderedList">
    <w:name w:val="Ordered List"/>
    <w:uiPriority w:val="99"/>
    <w:rsid w:val="005F6BCF"/>
    <w:pPr>
      <w:numPr>
        <w:numId w:val="25"/>
      </w:numPr>
    </w:pPr>
  </w:style>
  <w:style w:type="numbering" w:customStyle="1" w:styleId="UnorderedList">
    <w:name w:val="Unordered List"/>
    <w:uiPriority w:val="99"/>
    <w:rsid w:val="005F6BCF"/>
    <w:pPr>
      <w:numPr>
        <w:numId w:val="27"/>
      </w:numPr>
    </w:pPr>
  </w:style>
  <w:style w:type="table" w:styleId="GridTable5Dark-Accent6">
    <w:name w:val="Grid Table 5 Dark Accent 6"/>
    <w:basedOn w:val="TableNormal"/>
    <w:uiPriority w:val="50"/>
    <w:rsid w:val="00C96A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8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91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91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91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912D" w:themeFill="accent6"/>
      </w:tcPr>
    </w:tblStylePr>
    <w:tblStylePr w:type="band1Vert">
      <w:tblPr/>
      <w:tcPr>
        <w:shd w:val="clear" w:color="auto" w:fill="F7D2AB" w:themeFill="accent6" w:themeFillTint="66"/>
      </w:tcPr>
    </w:tblStylePr>
    <w:tblStylePr w:type="band1Horz">
      <w:tblPr/>
      <w:tcPr>
        <w:shd w:val="clear" w:color="auto" w:fill="F7D2AB" w:themeFill="accent6" w:themeFillTint="66"/>
      </w:tcPr>
    </w:tblStylePr>
  </w:style>
  <w:style w:type="table" w:styleId="ListTable1Light">
    <w:name w:val="List Table 1 Light"/>
    <w:basedOn w:val="TableNormal"/>
    <w:uiPriority w:val="46"/>
    <w:rsid w:val="00C96A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
    <w:name w:val="List Table 6 Colorful"/>
    <w:basedOn w:val="TableNormal"/>
    <w:uiPriority w:val="51"/>
    <w:rsid w:val="00C96A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5">
    <w:name w:val="List Table 7 Colorful Accent 5"/>
    <w:basedOn w:val="TableNormal"/>
    <w:uiPriority w:val="52"/>
    <w:rsid w:val="00C96A49"/>
    <w:pPr>
      <w:spacing w:after="0" w:line="240" w:lineRule="auto"/>
    </w:pPr>
    <w:rPr>
      <w:color w:val="0B65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88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88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88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8852" w:themeColor="accent5"/>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96A49"/>
    <w:pPr>
      <w:spacing w:after="0" w:line="240" w:lineRule="auto"/>
    </w:pPr>
    <w:rPr>
      <w:color w:val="81002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00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00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00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003D" w:themeColor="accent1"/>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96A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96A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96A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uiPriority w:val="38"/>
    <w:rsid w:val="008A16A1"/>
    <w:pPr>
      <w:spacing w:after="60" w:line="240" w:lineRule="auto"/>
    </w:pPr>
    <w:rPr>
      <w:sz w:val="19"/>
    </w:rPr>
  </w:style>
  <w:style w:type="character" w:styleId="UnresolvedMention">
    <w:name w:val="Unresolved Mention"/>
    <w:basedOn w:val="DefaultParagraphFont"/>
    <w:uiPriority w:val="99"/>
    <w:semiHidden/>
    <w:unhideWhenUsed/>
    <w:rsid w:val="00D7094D"/>
    <w:rPr>
      <w:color w:val="605E5C"/>
      <w:shd w:val="clear" w:color="auto" w:fill="E1DFDD"/>
    </w:rPr>
  </w:style>
  <w:style w:type="table" w:customStyle="1" w:styleId="Box">
    <w:name w:val="Box"/>
    <w:basedOn w:val="TableGrid"/>
    <w:uiPriority w:val="99"/>
    <w:rsid w:val="006D577B"/>
    <w:pPr>
      <w:spacing w:before="120" w:after="40" w:line="312" w:lineRule="auto"/>
    </w:pPr>
    <w:tblPr>
      <w:tbl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one" w:sz="0" w:space="0" w:color="auto"/>
        <w:insideV w:val="none" w:sz="0" w:space="0" w:color="auto"/>
      </w:tblBorders>
      <w:tblCellMar>
        <w:top w:w="113" w:type="dxa"/>
        <w:left w:w="284" w:type="dxa"/>
        <w:bottom w:w="113" w:type="dxa"/>
        <w:right w:w="284" w:type="dxa"/>
      </w:tblCellMar>
    </w:tblPr>
    <w:tblStylePr w:type="firstRow">
      <w:pPr>
        <w:keepNext/>
        <w:wordWrap/>
      </w:pPr>
      <w:rPr>
        <w:rFonts w:asciiTheme="minorHAnsi" w:hAnsiTheme="minorHAnsi"/>
        <w:b w:val="0"/>
      </w:rPr>
      <w:tblPr/>
      <w:tcPr>
        <w:tcBorders>
          <w:bottom w:val="nil"/>
        </w:tcBorders>
        <w:shd w:val="clear" w:color="auto" w:fill="F0EDE8" w:themeFill="background2"/>
      </w:tcPr>
    </w:tblStylePr>
    <w:tblStylePr w:type="lastRow">
      <w:rPr>
        <w:rFonts w:asciiTheme="minorHAnsi" w:hAnsiTheme="minorHAnsi"/>
        <w:b w:val="0"/>
      </w:rPr>
      <w:tblPr/>
      <w:tcPr>
        <w:tcBorders>
          <w:top w:val="single" w:sz="4" w:space="0" w:color="8F7C5D" w:themeColor="background2" w:themeShade="80"/>
        </w:tcBorders>
        <w:shd w:val="clear" w:color="auto" w:fill="F0EDE8" w:themeFill="background2"/>
      </w:tcPr>
    </w:tblStylePr>
    <w:tblStylePr w:type="firstCol">
      <w:rPr>
        <w:rFonts w:asciiTheme="minorHAnsi" w:hAnsiTheme="minorHAnsi"/>
        <w:b w:val="0"/>
      </w:rPr>
      <w:tblPr/>
      <w:tcPr>
        <w:tcBorders>
          <w:right w:val="single" w:sz="4" w:space="0" w:color="8F7C5D" w:themeColor="background2" w:themeShade="80"/>
        </w:tcBorders>
        <w:shd w:val="clear" w:color="auto" w:fill="F0EDE8" w:themeFill="background2"/>
      </w:tcPr>
    </w:tblStylePr>
    <w:tblStylePr w:type="lastCol">
      <w:rPr>
        <w:rFonts w:asciiTheme="minorHAnsi" w:hAnsiTheme="minorHAnsi"/>
        <w:b w:val="0"/>
      </w:rPr>
      <w:tblPr/>
      <w:tcPr>
        <w:tcBorders>
          <w:left w:val="single" w:sz="4" w:space="0" w:color="8F7C5D" w:themeColor="background2" w:themeShade="80"/>
        </w:tcBorders>
        <w:shd w:val="clear" w:color="auto" w:fill="F0EDE8" w:themeFill="background2"/>
      </w:tcPr>
    </w:tblStylePr>
    <w:tblStylePr w:type="band1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2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1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band2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n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n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style>
  <w:style w:type="paragraph" w:styleId="Revision">
    <w:name w:val="Revision"/>
    <w:hidden/>
    <w:uiPriority w:val="99"/>
    <w:semiHidden/>
    <w:rsid w:val="00DB4EE8"/>
    <w:pPr>
      <w:spacing w:after="0" w:line="240" w:lineRule="auto"/>
    </w:pPr>
    <w:rPr>
      <w:kern w:val="20"/>
      <w:sz w:val="20"/>
      <w14:ligatures w14:val="standardContextual"/>
      <w14:numForm w14:val="lining"/>
      <w14:numSpacing w14:val="tabular"/>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2066">
      <w:bodyDiv w:val="1"/>
      <w:marLeft w:val="0"/>
      <w:marRight w:val="0"/>
      <w:marTop w:val="0"/>
      <w:marBottom w:val="0"/>
      <w:divBdr>
        <w:top w:val="none" w:sz="0" w:space="0" w:color="auto"/>
        <w:left w:val="none" w:sz="0" w:space="0" w:color="auto"/>
        <w:bottom w:val="none" w:sz="0" w:space="0" w:color="auto"/>
        <w:right w:val="none" w:sz="0" w:space="0" w:color="auto"/>
      </w:divBdr>
    </w:div>
    <w:div w:id="62265798">
      <w:bodyDiv w:val="1"/>
      <w:marLeft w:val="0"/>
      <w:marRight w:val="0"/>
      <w:marTop w:val="0"/>
      <w:marBottom w:val="0"/>
      <w:divBdr>
        <w:top w:val="none" w:sz="0" w:space="0" w:color="auto"/>
        <w:left w:val="none" w:sz="0" w:space="0" w:color="auto"/>
        <w:bottom w:val="none" w:sz="0" w:space="0" w:color="auto"/>
        <w:right w:val="none" w:sz="0" w:space="0" w:color="auto"/>
      </w:divBdr>
    </w:div>
    <w:div w:id="146827682">
      <w:bodyDiv w:val="1"/>
      <w:marLeft w:val="0"/>
      <w:marRight w:val="0"/>
      <w:marTop w:val="0"/>
      <w:marBottom w:val="0"/>
      <w:divBdr>
        <w:top w:val="none" w:sz="0" w:space="0" w:color="auto"/>
        <w:left w:val="none" w:sz="0" w:space="0" w:color="auto"/>
        <w:bottom w:val="none" w:sz="0" w:space="0" w:color="auto"/>
        <w:right w:val="none" w:sz="0" w:space="0" w:color="auto"/>
      </w:divBdr>
    </w:div>
    <w:div w:id="653074210">
      <w:bodyDiv w:val="1"/>
      <w:marLeft w:val="0"/>
      <w:marRight w:val="0"/>
      <w:marTop w:val="0"/>
      <w:marBottom w:val="0"/>
      <w:divBdr>
        <w:top w:val="none" w:sz="0" w:space="0" w:color="auto"/>
        <w:left w:val="none" w:sz="0" w:space="0" w:color="auto"/>
        <w:bottom w:val="none" w:sz="0" w:space="0" w:color="auto"/>
        <w:right w:val="none" w:sz="0" w:space="0" w:color="auto"/>
      </w:divBdr>
    </w:div>
    <w:div w:id="1456825654">
      <w:bodyDiv w:val="1"/>
      <w:marLeft w:val="0"/>
      <w:marRight w:val="0"/>
      <w:marTop w:val="0"/>
      <w:marBottom w:val="0"/>
      <w:divBdr>
        <w:top w:val="none" w:sz="0" w:space="0" w:color="auto"/>
        <w:left w:val="none" w:sz="0" w:space="0" w:color="auto"/>
        <w:bottom w:val="none" w:sz="0" w:space="0" w:color="auto"/>
        <w:right w:val="none" w:sz="0" w:space="0" w:color="auto"/>
      </w:divBdr>
    </w:div>
    <w:div w:id="1564174539">
      <w:bodyDiv w:val="1"/>
      <w:marLeft w:val="0"/>
      <w:marRight w:val="0"/>
      <w:marTop w:val="0"/>
      <w:marBottom w:val="0"/>
      <w:divBdr>
        <w:top w:val="none" w:sz="0" w:space="0" w:color="auto"/>
        <w:left w:val="none" w:sz="0" w:space="0" w:color="auto"/>
        <w:bottom w:val="none" w:sz="0" w:space="0" w:color="auto"/>
        <w:right w:val="none" w:sz="0" w:space="0" w:color="auto"/>
      </w:divBdr>
    </w:div>
    <w:div w:id="15695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cifar.eu/" TargetMode="External"/><Relationship Id="rId7" Type="http://schemas.openxmlformats.org/officeDocument/2006/relationships/hyperlink" Target="https://star.worldbank.org/asset-recovery-watch-database" TargetMode="External"/><Relationship Id="rId2" Type="http://schemas.openxmlformats.org/officeDocument/2006/relationships/hyperlink" Target="https://uncaccoalition.org/get-involved/working-groups/asset-recovery/" TargetMode="External"/><Relationship Id="rId1" Type="http://schemas.openxmlformats.org/officeDocument/2006/relationships/hyperlink" Target="https://uncaccoalition.org/get-involved/working-groups/asset-recovery/" TargetMode="External"/><Relationship Id="rId6" Type="http://schemas.openxmlformats.org/officeDocument/2006/relationships/hyperlink" Target="https://star.worldbank.org/guide-star-asset-recovery-watch-database" TargetMode="External"/><Relationship Id="rId5" Type="http://schemas.openxmlformats.org/officeDocument/2006/relationships/hyperlink" Target="https://uncaccoalition.org/information-and-data-availability-in-asset-recovery/" TargetMode="External"/><Relationship Id="rId4" Type="http://schemas.openxmlformats.org/officeDocument/2006/relationships/hyperlink" Target="https://transparency-franc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085621834B7D43979B74154BC49213"/>
        <w:category>
          <w:name w:val="General"/>
          <w:gallery w:val="placeholder"/>
        </w:category>
        <w:types>
          <w:type w:val="bbPlcHdr"/>
        </w:types>
        <w:behaviors>
          <w:behavior w:val="content"/>
        </w:behaviors>
        <w:guid w:val="{51382640-B301-0D42-B061-5163326EBBB4}"/>
      </w:docPartPr>
      <w:docPartBody>
        <w:p w:rsidR="00043C6D" w:rsidRDefault="00000000">
          <w:pPr>
            <w:pStyle w:val="42085621834B7D43979B74154BC49213"/>
          </w:pPr>
          <w:r w:rsidRPr="00C53D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w:panose1 w:val="020B0502040504020204"/>
    <w:charset w:val="00"/>
    <w:family w:val="swiss"/>
    <w:pitch w:val="variable"/>
    <w:sig w:usb0="E00082FF" w:usb1="400078FF" w:usb2="00000021" w:usb3="00000000" w:csb0="0000019F" w:csb1="00000000"/>
  </w:font>
  <w:font w:name="Inter">
    <w:altName w:val="Calibri"/>
    <w:charset w:val="00"/>
    <w:family w:val="auto"/>
    <w:pitch w:val="default"/>
  </w:font>
  <w:font w:name="Lexend">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93"/>
    <w:rsid w:val="00043C6D"/>
    <w:rsid w:val="000D01A1"/>
    <w:rsid w:val="001A02B8"/>
    <w:rsid w:val="001C63D0"/>
    <w:rsid w:val="001F6A68"/>
    <w:rsid w:val="0036439A"/>
    <w:rsid w:val="00383584"/>
    <w:rsid w:val="003D5093"/>
    <w:rsid w:val="0041288E"/>
    <w:rsid w:val="004C76FA"/>
    <w:rsid w:val="00C5542C"/>
    <w:rsid w:val="00CC103F"/>
    <w:rsid w:val="00DE762F"/>
    <w:rsid w:val="00FC52BA"/>
    <w:rsid w:val="00FD0EC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085621834B7D43979B74154BC49213">
    <w:name w:val="42085621834B7D43979B74154BC492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CAC Coalition">
      <a:dk1>
        <a:srgbClr val="000000"/>
      </a:dk1>
      <a:lt1>
        <a:srgbClr val="FFFFFF"/>
      </a:lt1>
      <a:dk2>
        <a:srgbClr val="870034"/>
      </a:dk2>
      <a:lt2>
        <a:srgbClr val="F0EDE8"/>
      </a:lt2>
      <a:accent1>
        <a:srgbClr val="AD003D"/>
      </a:accent1>
      <a:accent2>
        <a:srgbClr val="5E3482"/>
      </a:accent2>
      <a:accent3>
        <a:srgbClr val="00639C"/>
      </a:accent3>
      <a:accent4>
        <a:srgbClr val="00A48B"/>
      </a:accent4>
      <a:accent5>
        <a:srgbClr val="0F8852"/>
      </a:accent5>
      <a:accent6>
        <a:srgbClr val="EB912D"/>
      </a:accent6>
      <a:hlink>
        <a:srgbClr val="0D5A4A"/>
      </a:hlink>
      <a:folHlink>
        <a:srgbClr val="0D5A4A"/>
      </a:folHlink>
    </a:clrScheme>
    <a:fontScheme name="UNCAC Coalition">
      <a:majorFont>
        <a:latin typeface="Lexen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NewSourcePlace</b:Tag>
    <b:RefOrder>2</b:RefOrder>
  </b:Source>
  <b:Source>
    <b:Tag>Hub15</b:Tag>
    <b:SourceType>Report</b:SourceType>
    <b:Guid>{55FA7666-08F4-4CEF-9631-D8E21642403B}</b:Guid>
    <b:Title>2015 Social Media Benchmarks Report</b:Title>
    <b:Year>2015</b:Year>
    <b:Author>
      <b:Author>
        <b:Corporate>Hubspot</b:Corporate>
      </b:Author>
    </b:Author>
    <b:Publisher>Hubspot</b:Publisher>
    <b:City>Cambridge, MA</b:City>
    <b:RefOrder>1</b:RefOrder>
  </b:Source>
</b:Sources>
</file>

<file path=customXml/itemProps1.xml><?xml version="1.0" encoding="utf-8"?>
<ds:datastoreItem xmlns:ds="http://schemas.openxmlformats.org/officeDocument/2006/customXml" ds:itemID="{6F4B1456-1542-41DE-81C2-C03E8BFE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1176</Words>
  <Characters>7239</Characters>
  <Application>Microsoft Office Word</Application>
  <DocSecurity>0</DocSecurity>
  <Lines>114</Lines>
  <Paragraphs>27</Paragraphs>
  <ScaleCrop>false</ScaleCrop>
  <HeadingPairs>
    <vt:vector size="2" baseType="variant">
      <vt:variant>
        <vt:lpstr>Title</vt:lpstr>
      </vt:variant>
      <vt:variant>
        <vt:i4>1</vt:i4>
      </vt:variant>
    </vt:vector>
  </HeadingPairs>
  <TitlesOfParts>
    <vt:vector size="1" baseType="lpstr">
      <vt:lpstr>Advancing Resolution 10/10 by Addressing Sexual Corruption: Understanding and Enforcement</vt:lpstr>
    </vt:vector>
  </TitlesOfParts>
  <Company>UNCAC Coalition</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Transparency in Asset Recovery</dc:title>
  <dc:subject/>
  <dc:creator>Miguel Rodrigues</dc:creator>
  <cp:keywords/>
  <dc:description/>
  <cp:lastModifiedBy>Miguel Rodrigues</cp:lastModifiedBy>
  <cp:revision>3</cp:revision>
  <dcterms:created xsi:type="dcterms:W3CDTF">2025-11-20T15:41:00Z</dcterms:created>
  <dcterms:modified xsi:type="dcterms:W3CDTF">2025-11-21T09:22:00Z</dcterms:modified>
</cp:coreProperties>
</file>