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1177" w14:textId="649E9485" w:rsidR="00B63A3A" w:rsidRDefault="00B63A3A" w:rsidP="00B63A3A">
      <w:pPr>
        <w:jc w:val="center"/>
        <w:rPr>
          <w:rFonts w:ascii="Calibri" w:eastAsia="Calibri" w:hAnsi="Calibri" w:cs="Calibri"/>
          <w:b/>
          <w:bCs/>
        </w:rPr>
      </w:pPr>
      <w:r w:rsidRPr="00AE6CAC">
        <w:rPr>
          <w:rFonts w:ascii="Calibri" w:eastAsia="Calibri" w:hAnsi="Calibri" w:cs="Calibri"/>
          <w:b/>
          <w:bCs/>
        </w:rPr>
        <w:t>Transparency International</w:t>
      </w:r>
      <w:r>
        <w:rPr>
          <w:rFonts w:ascii="Calibri" w:eastAsia="Calibri" w:hAnsi="Calibri" w:cs="Calibri"/>
          <w:b/>
          <w:bCs/>
        </w:rPr>
        <w:t xml:space="preserve"> </w:t>
      </w:r>
      <w:r w:rsidRPr="00AE6CAC">
        <w:rPr>
          <w:rFonts w:ascii="Calibri" w:eastAsia="Calibri" w:hAnsi="Calibri" w:cs="Calibri"/>
          <w:b/>
          <w:bCs/>
        </w:rPr>
        <w:t xml:space="preserve">Statement </w:t>
      </w:r>
      <w:r>
        <w:rPr>
          <w:rFonts w:ascii="Calibri" w:eastAsia="Calibri" w:hAnsi="Calibri" w:cs="Calibri"/>
          <w:b/>
          <w:bCs/>
        </w:rPr>
        <w:t>t</w:t>
      </w:r>
      <w:r w:rsidRPr="00AE6CAC">
        <w:rPr>
          <w:rFonts w:ascii="Calibri" w:eastAsia="Calibri" w:hAnsi="Calibri" w:cs="Calibri"/>
          <w:b/>
          <w:bCs/>
        </w:rPr>
        <w:t>o the UNCAC Implementation Review Group</w:t>
      </w:r>
    </w:p>
    <w:p w14:paraId="7EA2DC08" w14:textId="77777777" w:rsidR="00B63A3A" w:rsidRDefault="00B63A3A" w:rsidP="00B63A3A">
      <w:pPr>
        <w:jc w:val="center"/>
        <w:rPr>
          <w:rFonts w:ascii="Calibri" w:eastAsia="Calibri" w:hAnsi="Calibri" w:cs="Calibri"/>
          <w:b/>
          <w:bCs/>
        </w:rPr>
      </w:pPr>
    </w:p>
    <w:p w14:paraId="53800B8E" w14:textId="77777777" w:rsidR="00B63A3A" w:rsidRDefault="00B63A3A" w:rsidP="00B63A3A">
      <w:pPr>
        <w:jc w:val="center"/>
        <w:rPr>
          <w:rFonts w:ascii="Calibri" w:eastAsia="Calibri" w:hAnsi="Calibri" w:cs="Calibri"/>
          <w:b/>
          <w:bCs/>
        </w:rPr>
      </w:pPr>
      <w:r w:rsidRPr="00AE6CAC">
        <w:rPr>
          <w:rFonts w:ascii="Calibri" w:eastAsia="Calibri" w:hAnsi="Calibri" w:cs="Calibri"/>
          <w:b/>
          <w:bCs/>
        </w:rPr>
        <w:t xml:space="preserve">Recommendations to ensure </w:t>
      </w:r>
      <w:r>
        <w:rPr>
          <w:rFonts w:ascii="Calibri" w:eastAsia="Calibri" w:hAnsi="Calibri" w:cs="Calibri"/>
          <w:b/>
          <w:bCs/>
        </w:rPr>
        <w:t xml:space="preserve">effective whistleblower protection </w:t>
      </w:r>
    </w:p>
    <w:p w14:paraId="373150DC" w14:textId="32B48C88" w:rsidR="00B63A3A" w:rsidRPr="00AE6CAC" w:rsidRDefault="00B63A3A" w:rsidP="00B63A3A">
      <w:pPr>
        <w:jc w:val="center"/>
        <w:rPr>
          <w:rFonts w:ascii="Calibri" w:eastAsia="Calibri" w:hAnsi="Calibri" w:cs="Calibri"/>
          <w:b/>
          <w:bCs/>
        </w:rPr>
      </w:pPr>
      <w:r>
        <w:rPr>
          <w:rFonts w:ascii="Calibri" w:eastAsia="Calibri" w:hAnsi="Calibri" w:cs="Calibri"/>
          <w:b/>
          <w:bCs/>
        </w:rPr>
        <w:t>and to facilitate reporting of acts of corruption</w:t>
      </w:r>
    </w:p>
    <w:p w14:paraId="67C3E755" w14:textId="77777777" w:rsidR="00B63A3A" w:rsidRPr="00B63A3A" w:rsidRDefault="00B63A3A" w:rsidP="00DE13FC">
      <w:pPr>
        <w:pStyle w:val="PoromisinA"/>
        <w:widowControl w:val="0"/>
        <w:jc w:val="both"/>
        <w:rPr>
          <w:rStyle w:val="Ninguno"/>
          <w:rFonts w:ascii="Arial" w:hAnsi="Arial"/>
          <w:sz w:val="20"/>
          <w:szCs w:val="20"/>
        </w:rPr>
      </w:pPr>
    </w:p>
    <w:p w14:paraId="37BF0BB8" w14:textId="77777777" w:rsidR="00B63A3A" w:rsidRDefault="00B63A3A" w:rsidP="00DE13FC">
      <w:pPr>
        <w:pStyle w:val="PoromisinA"/>
        <w:widowControl w:val="0"/>
        <w:jc w:val="both"/>
        <w:rPr>
          <w:rStyle w:val="Ninguno"/>
          <w:rFonts w:ascii="Arial" w:hAnsi="Arial"/>
          <w:sz w:val="20"/>
          <w:szCs w:val="20"/>
          <w:lang w:val="en-GB"/>
        </w:rPr>
      </w:pPr>
    </w:p>
    <w:p w14:paraId="63859325" w14:textId="618EA0E3" w:rsidR="00585611" w:rsidRPr="00097410" w:rsidRDefault="00BE3525" w:rsidP="00DE13FC">
      <w:pPr>
        <w:pStyle w:val="PoromisinA"/>
        <w:widowControl w:val="0"/>
        <w:jc w:val="both"/>
        <w:rPr>
          <w:rFonts w:ascii="Arial" w:hAnsi="Arial"/>
          <w:sz w:val="20"/>
          <w:szCs w:val="20"/>
          <w:lang w:val="en-GB"/>
        </w:rPr>
      </w:pPr>
      <w:r w:rsidRPr="00097410">
        <w:rPr>
          <w:rStyle w:val="Ninguno"/>
          <w:rFonts w:ascii="Arial" w:hAnsi="Arial"/>
          <w:sz w:val="20"/>
          <w:szCs w:val="20"/>
          <w:lang w:val="en-GB"/>
        </w:rPr>
        <w:t>Whistleblowers play an essential role in exposing corruption and other wrongdoing</w:t>
      </w:r>
      <w:r w:rsidR="00855924" w:rsidRPr="00097410">
        <w:rPr>
          <w:rFonts w:ascii="Arial" w:hAnsi="Arial"/>
          <w:sz w:val="20"/>
          <w:szCs w:val="20"/>
          <w:lang w:val="en-GB"/>
        </w:rPr>
        <w:t xml:space="preserve"> that threaten public health and safety, financial integrity, human rights, the environment and the rule of law</w:t>
      </w:r>
      <w:r w:rsidRPr="00097410">
        <w:rPr>
          <w:rStyle w:val="Ninguno"/>
          <w:rFonts w:ascii="Arial" w:hAnsi="Arial"/>
          <w:sz w:val="20"/>
          <w:szCs w:val="20"/>
          <w:lang w:val="en-GB"/>
        </w:rPr>
        <w:t xml:space="preserve">. </w:t>
      </w:r>
      <w:r w:rsidRPr="00097410">
        <w:rPr>
          <w:rStyle w:val="Ninguno"/>
          <w:rFonts w:ascii="Arial" w:hAnsi="Arial"/>
          <w:b/>
          <w:sz w:val="20"/>
          <w:szCs w:val="20"/>
          <w:lang w:val="en-GB"/>
        </w:rPr>
        <w:t>By disclosing information about such misdeeds, whistleblowers have helped save countless lives and billions of dollars in public funds</w:t>
      </w:r>
      <w:r w:rsidRPr="00097410">
        <w:rPr>
          <w:rStyle w:val="Ninguno"/>
          <w:rFonts w:ascii="Arial" w:hAnsi="Arial"/>
          <w:sz w:val="20"/>
          <w:szCs w:val="20"/>
          <w:lang w:val="en-GB"/>
        </w:rPr>
        <w:t xml:space="preserve">. </w:t>
      </w:r>
      <w:r w:rsidR="00585611" w:rsidRPr="00097410">
        <w:rPr>
          <w:rFonts w:ascii="Arial" w:hAnsi="Arial"/>
          <w:sz w:val="20"/>
          <w:szCs w:val="20"/>
          <w:lang w:val="en-GB"/>
        </w:rPr>
        <w:t xml:space="preserve">Investigators consistently report that whistleblowers are among the main triggers for successful corruption investigations. Without inside information corruption is hard to detect. </w:t>
      </w:r>
    </w:p>
    <w:p w14:paraId="092FBD5F" w14:textId="77777777" w:rsidR="00855924" w:rsidRPr="00097410" w:rsidRDefault="00855924" w:rsidP="00DE13FC">
      <w:pPr>
        <w:pStyle w:val="PoromisinA"/>
        <w:widowControl w:val="0"/>
        <w:jc w:val="both"/>
        <w:rPr>
          <w:rStyle w:val="Ninguno"/>
          <w:rFonts w:ascii="Arial" w:hAnsi="Arial"/>
          <w:sz w:val="20"/>
          <w:szCs w:val="20"/>
          <w:lang w:val="en-GB"/>
        </w:rPr>
      </w:pPr>
    </w:p>
    <w:p w14:paraId="3E4C34C6" w14:textId="1CA542E3" w:rsidR="005538DE" w:rsidRPr="00097410" w:rsidRDefault="00BE3525" w:rsidP="00DE13FC">
      <w:pPr>
        <w:pStyle w:val="PoromisinA"/>
        <w:widowControl w:val="0"/>
        <w:jc w:val="both"/>
        <w:rPr>
          <w:rFonts w:ascii="Arial" w:hAnsi="Arial" w:cs="Arial"/>
          <w:sz w:val="20"/>
          <w:szCs w:val="20"/>
          <w:lang w:val="en-GB"/>
        </w:rPr>
      </w:pPr>
      <w:r w:rsidRPr="00097410">
        <w:rPr>
          <w:rStyle w:val="Ninguno"/>
          <w:rFonts w:ascii="Arial" w:hAnsi="Arial"/>
          <w:sz w:val="20"/>
          <w:szCs w:val="20"/>
          <w:lang w:val="en-GB"/>
        </w:rPr>
        <w:t xml:space="preserve">However, </w:t>
      </w:r>
      <w:r w:rsidRPr="00097410">
        <w:rPr>
          <w:rStyle w:val="Ninguno"/>
          <w:rFonts w:ascii="Arial" w:hAnsi="Arial"/>
          <w:b/>
          <w:sz w:val="20"/>
          <w:szCs w:val="20"/>
          <w:lang w:val="en-GB"/>
        </w:rPr>
        <w:t>whistleblowers often put themselves at high personal risk</w:t>
      </w:r>
      <w:r w:rsidRPr="00097410">
        <w:rPr>
          <w:rStyle w:val="Ninguno"/>
          <w:rFonts w:ascii="Arial" w:hAnsi="Arial"/>
          <w:sz w:val="20"/>
          <w:szCs w:val="20"/>
          <w:lang w:val="en-GB"/>
        </w:rPr>
        <w:t xml:space="preserve">. They may be fired, sued, blacklisted, arrested, threatened or, in extreme cases, assaulted or killed. </w:t>
      </w:r>
      <w:r w:rsidR="00E43D48" w:rsidRPr="00097410">
        <w:rPr>
          <w:rFonts w:ascii="Arial" w:hAnsi="Arial"/>
          <w:sz w:val="20"/>
          <w:szCs w:val="20"/>
          <w:lang w:val="en-GB"/>
        </w:rPr>
        <w:t xml:space="preserve">Protecting whistleblowers from such retaliation </w:t>
      </w:r>
      <w:r w:rsidR="00E16791" w:rsidRPr="00097410">
        <w:rPr>
          <w:rFonts w:ascii="Arial" w:hAnsi="Arial"/>
          <w:sz w:val="20"/>
          <w:szCs w:val="20"/>
          <w:lang w:val="en-GB"/>
        </w:rPr>
        <w:t xml:space="preserve">can embolden people to report wrongdoing and thus increase the likelihood that wrongdoing is uncovered and penalised. </w:t>
      </w:r>
      <w:r w:rsidR="00E16791" w:rsidRPr="00097410">
        <w:rPr>
          <w:rFonts w:ascii="Arial" w:hAnsi="Arial" w:cs="Arial"/>
          <w:sz w:val="20"/>
          <w:szCs w:val="20"/>
          <w:lang w:val="en-GB"/>
        </w:rPr>
        <w:t xml:space="preserve">Whistleblower protection is thus a key means of </w:t>
      </w:r>
      <w:r w:rsidR="00E43D48" w:rsidRPr="00097410">
        <w:rPr>
          <w:rFonts w:ascii="Arial" w:hAnsi="Arial" w:cs="Arial"/>
          <w:sz w:val="20"/>
          <w:szCs w:val="20"/>
          <w:lang w:val="en-GB"/>
        </w:rPr>
        <w:t xml:space="preserve">enhancing openness and accountability in government and corporate workplaces. </w:t>
      </w:r>
    </w:p>
    <w:p w14:paraId="57A3F7D7" w14:textId="77777777" w:rsidR="00E16791" w:rsidRPr="00097410" w:rsidRDefault="00E16791" w:rsidP="00DE13FC">
      <w:pPr>
        <w:pStyle w:val="PoromisinA"/>
        <w:widowControl w:val="0"/>
        <w:jc w:val="both"/>
        <w:rPr>
          <w:rStyle w:val="Ninguno"/>
          <w:rFonts w:ascii="Arial" w:hAnsi="Arial" w:cs="Arial"/>
          <w:sz w:val="20"/>
          <w:szCs w:val="20"/>
          <w:lang w:val="en-GB"/>
        </w:rPr>
      </w:pPr>
    </w:p>
    <w:p w14:paraId="5A6451AC" w14:textId="2EC425A2" w:rsidR="00585611" w:rsidRPr="00097410" w:rsidRDefault="00C615C1" w:rsidP="004D7ADB">
      <w:pPr>
        <w:pStyle w:val="PoromisinA"/>
        <w:widowControl w:val="0"/>
        <w:jc w:val="both"/>
        <w:rPr>
          <w:rFonts w:ascii="Arial" w:hAnsi="Arial" w:cs="Arial"/>
          <w:iCs/>
          <w:sz w:val="20"/>
          <w:szCs w:val="20"/>
          <w:lang w:val="en-GB"/>
        </w:rPr>
      </w:pPr>
      <w:r w:rsidRPr="00097410">
        <w:rPr>
          <w:rFonts w:ascii="Arial" w:hAnsi="Arial" w:cs="Arial"/>
          <w:sz w:val="20"/>
          <w:szCs w:val="20"/>
          <w:lang w:val="en-GB"/>
        </w:rPr>
        <w:t>All global and regional treaties aimed at combating corruption have recognised the importance of whistleblower protection to address corruption, and have introduced requirements</w:t>
      </w:r>
      <w:r w:rsidR="002B22DB" w:rsidRPr="00097410">
        <w:rPr>
          <w:rFonts w:ascii="Arial" w:hAnsi="Arial" w:cs="Arial"/>
          <w:sz w:val="20"/>
          <w:szCs w:val="20"/>
          <w:lang w:val="en-GB"/>
        </w:rPr>
        <w:t xml:space="preserve"> in that</w:t>
      </w:r>
      <w:r w:rsidRPr="00097410">
        <w:rPr>
          <w:rFonts w:ascii="Arial" w:hAnsi="Arial" w:cs="Arial"/>
          <w:sz w:val="20"/>
          <w:szCs w:val="20"/>
          <w:lang w:val="en-GB"/>
        </w:rPr>
        <w:t xml:space="preserve"> </w:t>
      </w:r>
      <w:r w:rsidR="002B22DB" w:rsidRPr="00097410">
        <w:rPr>
          <w:rFonts w:ascii="Arial" w:hAnsi="Arial" w:cs="Arial"/>
          <w:sz w:val="20"/>
          <w:szCs w:val="20"/>
          <w:lang w:val="en-GB"/>
        </w:rPr>
        <w:t>regard</w:t>
      </w:r>
      <w:r w:rsidRPr="00097410">
        <w:rPr>
          <w:rFonts w:ascii="Arial" w:hAnsi="Arial" w:cs="Arial"/>
          <w:sz w:val="20"/>
          <w:szCs w:val="20"/>
          <w:lang w:val="en-GB"/>
        </w:rPr>
        <w:t>.</w:t>
      </w:r>
      <w:r w:rsidRPr="00097410">
        <w:rPr>
          <w:rFonts w:ascii="Arial" w:hAnsi="Arial" w:cs="Arial"/>
          <w:sz w:val="20"/>
          <w:szCs w:val="20"/>
          <w:vertAlign w:val="superscript"/>
          <w:lang w:val="en-GB"/>
        </w:rPr>
        <w:footnoteReference w:id="2"/>
      </w:r>
      <w:r w:rsidRPr="00097410">
        <w:rPr>
          <w:rFonts w:ascii="Arial" w:hAnsi="Arial" w:cs="Arial"/>
          <w:sz w:val="20"/>
          <w:szCs w:val="20"/>
          <w:lang w:val="en-GB"/>
        </w:rPr>
        <w:t xml:space="preserve"> </w:t>
      </w:r>
      <w:r w:rsidR="00192DF4" w:rsidRPr="00097410">
        <w:rPr>
          <w:rFonts w:ascii="Arial" w:hAnsi="Arial" w:cs="Arial"/>
          <w:sz w:val="20"/>
          <w:szCs w:val="20"/>
          <w:lang w:val="en-GB"/>
        </w:rPr>
        <w:t>UNCA</w:t>
      </w:r>
      <w:r w:rsidR="004D7ADB" w:rsidRPr="00097410">
        <w:rPr>
          <w:rFonts w:ascii="Arial" w:hAnsi="Arial" w:cs="Arial"/>
          <w:sz w:val="20"/>
          <w:szCs w:val="20"/>
          <w:lang w:val="en-GB"/>
        </w:rPr>
        <w:t>C</w:t>
      </w:r>
      <w:r w:rsidR="00192DF4" w:rsidRPr="00097410">
        <w:rPr>
          <w:rFonts w:ascii="Arial" w:hAnsi="Arial" w:cs="Arial"/>
          <w:sz w:val="20"/>
          <w:szCs w:val="20"/>
          <w:lang w:val="en-GB"/>
        </w:rPr>
        <w:t xml:space="preserve"> </w:t>
      </w:r>
      <w:r w:rsidR="00585611" w:rsidRPr="00097410">
        <w:rPr>
          <w:rFonts w:ascii="Arial" w:hAnsi="Arial" w:cs="Arial"/>
          <w:sz w:val="20"/>
          <w:szCs w:val="20"/>
          <w:lang w:val="en-GB"/>
        </w:rPr>
        <w:t>Article</w:t>
      </w:r>
      <w:r w:rsidR="00192DF4" w:rsidRPr="00097410">
        <w:rPr>
          <w:rFonts w:ascii="Arial" w:hAnsi="Arial" w:cs="Arial"/>
          <w:sz w:val="20"/>
          <w:szCs w:val="20"/>
          <w:lang w:val="en-GB"/>
        </w:rPr>
        <w:t xml:space="preserve"> 33 </w:t>
      </w:r>
      <w:r w:rsidR="00585611" w:rsidRPr="00097410">
        <w:rPr>
          <w:rFonts w:ascii="Arial" w:hAnsi="Arial" w:cs="Arial"/>
          <w:sz w:val="20"/>
          <w:szCs w:val="20"/>
          <w:lang w:val="en-GB"/>
        </w:rPr>
        <w:t>states that “</w:t>
      </w:r>
      <w:r w:rsidR="00585611" w:rsidRPr="00097410">
        <w:rPr>
          <w:rFonts w:ascii="Arial" w:hAnsi="Arial" w:cs="Arial"/>
          <w:iCs/>
          <w:sz w:val="20"/>
          <w:szCs w:val="20"/>
          <w:lang w:val="en-GB"/>
        </w:rPr>
        <w:t>Each State Party shall consider 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w:t>
      </w:r>
      <w:r w:rsidR="004D7ADB" w:rsidRPr="00097410">
        <w:rPr>
          <w:rFonts w:ascii="Arial" w:hAnsi="Arial" w:cs="Arial"/>
          <w:iCs/>
          <w:sz w:val="20"/>
          <w:szCs w:val="20"/>
          <w:lang w:val="en-GB"/>
        </w:rPr>
        <w:t xml:space="preserve"> </w:t>
      </w:r>
      <w:r w:rsidR="00585611" w:rsidRPr="00097410">
        <w:rPr>
          <w:rFonts w:ascii="Arial" w:hAnsi="Arial" w:cs="Arial"/>
          <w:sz w:val="20"/>
          <w:szCs w:val="20"/>
          <w:lang w:val="en-GB"/>
        </w:rPr>
        <w:t>A range of other UNCAC articles also underline the importance of providing the right framework for reporting corruption. These include two articles in Chapter II on Prevention, currently under review, namely Article 8(4) on facilitating reporting by public officials; and Article 13(2) on anonymous reporting to anti-corruption bodies.</w:t>
      </w:r>
      <w:r w:rsidR="00144377" w:rsidRPr="00097410">
        <w:rPr>
          <w:rStyle w:val="FootnoteReference"/>
          <w:rFonts w:ascii="Arial" w:hAnsi="Arial" w:cs="Arial"/>
          <w:sz w:val="20"/>
          <w:szCs w:val="20"/>
          <w:lang w:val="en-GB"/>
        </w:rPr>
        <w:footnoteReference w:id="3"/>
      </w:r>
      <w:r w:rsidR="00585611" w:rsidRPr="00097410">
        <w:rPr>
          <w:sz w:val="20"/>
          <w:szCs w:val="20"/>
          <w:lang w:val="en-GB"/>
        </w:rPr>
        <w:t xml:space="preserve"> </w:t>
      </w:r>
    </w:p>
    <w:p w14:paraId="00907E64" w14:textId="20C6EEB3" w:rsidR="003F28D3" w:rsidRPr="00097410" w:rsidRDefault="003F28D3" w:rsidP="00DE13FC">
      <w:pPr>
        <w:pStyle w:val="PoromisinA"/>
        <w:widowControl w:val="0"/>
        <w:jc w:val="both"/>
        <w:rPr>
          <w:rFonts w:ascii="Arial" w:hAnsi="Arial" w:cs="Arial"/>
          <w:sz w:val="20"/>
          <w:szCs w:val="20"/>
          <w:lang w:val="en-GB"/>
        </w:rPr>
      </w:pPr>
    </w:p>
    <w:p w14:paraId="04D6150E" w14:textId="0EE18ECB" w:rsidR="006A3BFB" w:rsidRPr="00097410" w:rsidRDefault="004D7ADB" w:rsidP="006A3BFB">
      <w:pPr>
        <w:pStyle w:val="BodyText"/>
        <w:jc w:val="both"/>
        <w:rPr>
          <w:rFonts w:cs="Arial"/>
          <w:sz w:val="20"/>
          <w:szCs w:val="20"/>
          <w:lang w:val="en-GB"/>
        </w:rPr>
      </w:pPr>
      <w:r w:rsidRPr="00097410">
        <w:rPr>
          <w:rFonts w:cs="Arial"/>
          <w:sz w:val="20"/>
          <w:szCs w:val="20"/>
          <w:lang w:val="en-GB"/>
        </w:rPr>
        <w:t xml:space="preserve">The </w:t>
      </w:r>
      <w:r w:rsidR="006A3BFB" w:rsidRPr="00097410">
        <w:rPr>
          <w:rFonts w:cs="Arial"/>
          <w:sz w:val="20"/>
          <w:szCs w:val="20"/>
          <w:lang w:val="en-GB"/>
        </w:rPr>
        <w:t>UN</w:t>
      </w:r>
      <w:r w:rsidRPr="00097410">
        <w:rPr>
          <w:rFonts w:cs="Arial"/>
          <w:sz w:val="20"/>
          <w:szCs w:val="20"/>
          <w:lang w:val="en-GB"/>
        </w:rPr>
        <w:t>ODC</w:t>
      </w:r>
      <w:r w:rsidR="006A3BFB" w:rsidRPr="00097410">
        <w:rPr>
          <w:rFonts w:cs="Arial"/>
          <w:sz w:val="20"/>
          <w:szCs w:val="20"/>
          <w:lang w:val="en-GB"/>
        </w:rPr>
        <w:t>, but also regional organisations such as the Council of Europe and the Organisation of American States, as well as CSOs such as Transparency International (TI) have developed guidance for the adoption of whistleblowing legislation, to ensure that whistleblowers are afforded proper protection and disclosure opportunities.</w:t>
      </w:r>
      <w:r w:rsidR="006A3BFB" w:rsidRPr="00097410">
        <w:rPr>
          <w:rStyle w:val="FootnoteReference"/>
          <w:rFonts w:cs="Arial"/>
          <w:sz w:val="20"/>
          <w:szCs w:val="20"/>
          <w:lang w:val="en-GB"/>
        </w:rPr>
        <w:footnoteReference w:id="4"/>
      </w:r>
    </w:p>
    <w:p w14:paraId="2A490B1A" w14:textId="4F3BA435" w:rsidR="006A3BFB" w:rsidRPr="00097410" w:rsidRDefault="006A3BFB" w:rsidP="006A3BFB">
      <w:pPr>
        <w:pStyle w:val="BodyText"/>
        <w:jc w:val="both"/>
        <w:rPr>
          <w:rFonts w:cs="Arial"/>
          <w:sz w:val="20"/>
          <w:szCs w:val="20"/>
          <w:lang w:val="en-GB"/>
        </w:rPr>
      </w:pPr>
    </w:p>
    <w:p w14:paraId="24F7E73E" w14:textId="77777777" w:rsidR="006A3BFB" w:rsidRPr="00097410" w:rsidRDefault="006A3BFB" w:rsidP="006A3BFB">
      <w:pPr>
        <w:pStyle w:val="BodyText"/>
        <w:rPr>
          <w:rFonts w:cs="Arial"/>
          <w:sz w:val="20"/>
          <w:szCs w:val="20"/>
          <w:lang w:val="en-GB"/>
        </w:rPr>
      </w:pPr>
      <w:r w:rsidRPr="00097410">
        <w:rPr>
          <w:rFonts w:cs="Arial"/>
          <w:sz w:val="20"/>
          <w:szCs w:val="20"/>
          <w:lang w:val="en-GB"/>
        </w:rPr>
        <w:t xml:space="preserve">All State Parties to the UNCAC should adopt and implement robust and comprehensive whistleblower protection legislation that provide all whistleblowers, in the public and private sector, with access to reliable, gender sensitive channels to report wrongdoing and robust protection from all forms of retaliation. Such legislation should also ensure that </w:t>
      </w:r>
      <w:r w:rsidRPr="00097410">
        <w:rPr>
          <w:rFonts w:cs="Arial"/>
          <w:bCs/>
          <w:sz w:val="20"/>
          <w:szCs w:val="20"/>
          <w:lang w:val="en-GB"/>
        </w:rPr>
        <w:t>the information they disclose can be used to advance needed reforms</w:t>
      </w:r>
      <w:r w:rsidRPr="00097410">
        <w:rPr>
          <w:rFonts w:cs="Arial"/>
          <w:sz w:val="20"/>
          <w:szCs w:val="20"/>
          <w:lang w:val="en-GB"/>
        </w:rPr>
        <w:t xml:space="preserve"> and prevent future wrongdoing.</w:t>
      </w:r>
    </w:p>
    <w:p w14:paraId="0AC00D97" w14:textId="77777777" w:rsidR="006A3BFB" w:rsidRPr="00097410" w:rsidRDefault="006A3BFB" w:rsidP="00DE13FC">
      <w:pPr>
        <w:pStyle w:val="PoromisinA"/>
        <w:widowControl w:val="0"/>
        <w:jc w:val="both"/>
        <w:rPr>
          <w:rFonts w:ascii="Arial" w:hAnsi="Arial" w:cs="Arial"/>
          <w:sz w:val="20"/>
          <w:szCs w:val="20"/>
          <w:lang w:val="en-GB"/>
        </w:rPr>
      </w:pPr>
    </w:p>
    <w:p w14:paraId="5B0A0406" w14:textId="5AC182FF" w:rsidR="003F28D3" w:rsidRPr="00097410" w:rsidRDefault="00CF5D25" w:rsidP="00DE13FC">
      <w:pPr>
        <w:pStyle w:val="PoromisinA"/>
        <w:widowControl w:val="0"/>
        <w:jc w:val="both"/>
        <w:rPr>
          <w:rFonts w:ascii="Arial" w:hAnsi="Arial"/>
          <w:sz w:val="20"/>
          <w:szCs w:val="20"/>
          <w:lang w:val="en-GB"/>
        </w:rPr>
      </w:pPr>
      <w:r w:rsidRPr="00097410">
        <w:rPr>
          <w:rFonts w:ascii="Arial" w:hAnsi="Arial"/>
          <w:sz w:val="20"/>
          <w:szCs w:val="20"/>
          <w:lang w:val="en-GB"/>
        </w:rPr>
        <w:t>In 2017, m</w:t>
      </w:r>
      <w:r w:rsidR="00192DF4" w:rsidRPr="00097410">
        <w:rPr>
          <w:rFonts w:ascii="Arial" w:hAnsi="Arial"/>
          <w:sz w:val="20"/>
          <w:szCs w:val="20"/>
          <w:lang w:val="en-GB"/>
        </w:rPr>
        <w:t>ore</w:t>
      </w:r>
      <w:r w:rsidR="003F28D3" w:rsidRPr="00097410">
        <w:rPr>
          <w:rFonts w:ascii="Arial" w:hAnsi="Arial"/>
          <w:sz w:val="20"/>
          <w:szCs w:val="20"/>
          <w:lang w:val="en-GB"/>
        </w:rPr>
        <w:t xml:space="preserve"> than two thirds of the UNCAC Member States </w:t>
      </w:r>
      <w:r w:rsidRPr="00097410">
        <w:rPr>
          <w:rFonts w:ascii="Arial" w:hAnsi="Arial"/>
          <w:sz w:val="20"/>
          <w:szCs w:val="20"/>
          <w:lang w:val="en-GB"/>
        </w:rPr>
        <w:t>had</w:t>
      </w:r>
      <w:r w:rsidR="003F28D3" w:rsidRPr="00097410">
        <w:rPr>
          <w:rFonts w:ascii="Arial" w:hAnsi="Arial"/>
          <w:sz w:val="20"/>
          <w:szCs w:val="20"/>
          <w:lang w:val="en-GB"/>
        </w:rPr>
        <w:t xml:space="preserve"> not established comprehensive whistleblower protection measures or</w:t>
      </w:r>
      <w:r w:rsidR="00192DF4" w:rsidRPr="00097410">
        <w:rPr>
          <w:rFonts w:ascii="Arial" w:hAnsi="Arial"/>
          <w:sz w:val="20"/>
          <w:szCs w:val="20"/>
          <w:lang w:val="en-GB"/>
        </w:rPr>
        <w:t xml:space="preserve"> only provide</w:t>
      </w:r>
      <w:r w:rsidR="00097410" w:rsidRPr="00097410">
        <w:rPr>
          <w:rFonts w:ascii="Arial" w:hAnsi="Arial"/>
          <w:sz w:val="20"/>
          <w:szCs w:val="20"/>
          <w:lang w:val="en-GB"/>
        </w:rPr>
        <w:t>d</w:t>
      </w:r>
      <w:r w:rsidR="00192DF4" w:rsidRPr="00097410">
        <w:rPr>
          <w:rFonts w:ascii="Arial" w:hAnsi="Arial"/>
          <w:sz w:val="20"/>
          <w:szCs w:val="20"/>
          <w:lang w:val="en-GB"/>
        </w:rPr>
        <w:t xml:space="preserve"> partial protection.</w:t>
      </w:r>
      <w:r w:rsidR="00585611" w:rsidRPr="00097410">
        <w:rPr>
          <w:rStyle w:val="FootnoteReference"/>
          <w:rFonts w:ascii="Arial" w:hAnsi="Arial"/>
          <w:sz w:val="20"/>
          <w:szCs w:val="20"/>
          <w:lang w:val="en-GB"/>
        </w:rPr>
        <w:footnoteReference w:id="5"/>
      </w:r>
    </w:p>
    <w:p w14:paraId="5AA7BA57" w14:textId="4CCB660D" w:rsidR="00D8602E" w:rsidRPr="00097410" w:rsidRDefault="00D8602E" w:rsidP="00DE13FC">
      <w:pPr>
        <w:pStyle w:val="BodyText"/>
        <w:jc w:val="both"/>
        <w:rPr>
          <w:rFonts w:cs="Arial"/>
          <w:sz w:val="20"/>
          <w:szCs w:val="20"/>
          <w:lang w:val="en-GB"/>
        </w:rPr>
      </w:pPr>
    </w:p>
    <w:p w14:paraId="11678C31" w14:textId="77777777" w:rsidR="003B2487" w:rsidRPr="00097410" w:rsidRDefault="006662C3" w:rsidP="00DE13FC">
      <w:pPr>
        <w:pStyle w:val="BodyText"/>
        <w:tabs>
          <w:tab w:val="left" w:pos="2023"/>
        </w:tabs>
        <w:jc w:val="both"/>
        <w:rPr>
          <w:lang w:val="en-GB"/>
        </w:rPr>
      </w:pPr>
      <w:r w:rsidRPr="00097410">
        <w:rPr>
          <w:lang w:val="en-GB"/>
        </w:rPr>
        <w:tab/>
      </w:r>
    </w:p>
    <w:p w14:paraId="4C79E5A1" w14:textId="2B44F115" w:rsidR="003B2487" w:rsidRPr="00853808" w:rsidRDefault="00853808" w:rsidP="00DE13FC">
      <w:pPr>
        <w:pStyle w:val="Encabezamiento"/>
        <w:ind w:left="0"/>
        <w:jc w:val="both"/>
        <w:rPr>
          <w:rStyle w:val="Ninguno"/>
          <w:rFonts w:ascii="Arial" w:hAnsi="Arial" w:cs="Arial"/>
          <w:b/>
          <w:color w:val="auto"/>
          <w:sz w:val="20"/>
          <w:szCs w:val="20"/>
          <w:u w:color="009FED"/>
          <w:lang w:val="en-GB"/>
        </w:rPr>
      </w:pPr>
      <w:r w:rsidRPr="00853808">
        <w:rPr>
          <w:rStyle w:val="Ninguno"/>
          <w:rFonts w:ascii="Arial" w:hAnsi="Arial" w:cs="Arial"/>
          <w:b/>
          <w:color w:val="auto"/>
          <w:sz w:val="20"/>
          <w:szCs w:val="20"/>
          <w:u w:color="009FED"/>
          <w:lang w:val="en-GB"/>
        </w:rPr>
        <w:t xml:space="preserve">Recommendations </w:t>
      </w:r>
    </w:p>
    <w:p w14:paraId="7B6B234F" w14:textId="77777777" w:rsidR="00BE3525" w:rsidRPr="00097410" w:rsidRDefault="00BE3525" w:rsidP="00DE13FC">
      <w:pPr>
        <w:pStyle w:val="Encabezamiento"/>
        <w:ind w:left="0" w:firstLine="140"/>
        <w:jc w:val="both"/>
        <w:rPr>
          <w:rStyle w:val="Ninguno"/>
          <w:rFonts w:ascii="Arial" w:hAnsi="Arial" w:cs="Arial"/>
          <w:sz w:val="19"/>
          <w:szCs w:val="19"/>
          <w:lang w:val="en-GB"/>
        </w:rPr>
      </w:pPr>
    </w:p>
    <w:p w14:paraId="236F6EA0" w14:textId="76D72DF9" w:rsidR="00AF3726" w:rsidRPr="00097410" w:rsidRDefault="0013577B" w:rsidP="00AF3726">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In</w:t>
      </w:r>
      <w:r w:rsidR="00EC32C8" w:rsidRPr="00097410">
        <w:rPr>
          <w:rFonts w:ascii="Arial" w:hAnsi="Arial" w:cs="Arial"/>
          <w:sz w:val="20"/>
          <w:szCs w:val="20"/>
          <w:lang w:val="en-GB"/>
        </w:rPr>
        <w:t xml:space="preserve"> the first cycle</w:t>
      </w:r>
      <w:r w:rsidRPr="00097410">
        <w:rPr>
          <w:rFonts w:ascii="Arial" w:hAnsi="Arial" w:cs="Arial"/>
          <w:sz w:val="20"/>
          <w:szCs w:val="20"/>
          <w:lang w:val="en-GB"/>
        </w:rPr>
        <w:t xml:space="preserve"> of the UNCAC Review Mechanism</w:t>
      </w:r>
      <w:r w:rsidR="00EC32C8" w:rsidRPr="00097410">
        <w:rPr>
          <w:rFonts w:ascii="Arial" w:hAnsi="Arial" w:cs="Arial"/>
          <w:sz w:val="20"/>
          <w:szCs w:val="20"/>
          <w:lang w:val="en-GB"/>
        </w:rPr>
        <w:t>, numerous recommendations were issued ei</w:t>
      </w:r>
      <w:r w:rsidR="00097410" w:rsidRPr="00097410">
        <w:rPr>
          <w:rFonts w:ascii="Arial" w:hAnsi="Arial" w:cs="Arial"/>
          <w:sz w:val="20"/>
          <w:szCs w:val="20"/>
          <w:lang w:val="en-GB"/>
        </w:rPr>
        <w:t>ther to pursue or even prioritis</w:t>
      </w:r>
      <w:r w:rsidR="00EC32C8" w:rsidRPr="00097410">
        <w:rPr>
          <w:rFonts w:ascii="Arial" w:hAnsi="Arial" w:cs="Arial"/>
          <w:sz w:val="20"/>
          <w:szCs w:val="20"/>
          <w:lang w:val="en-GB"/>
        </w:rPr>
        <w:t xml:space="preserve">e the adoption of comprehensive legislation on whistleblower </w:t>
      </w:r>
      <w:r w:rsidR="00EC32C8" w:rsidRPr="00097410">
        <w:rPr>
          <w:rFonts w:ascii="Arial" w:hAnsi="Arial" w:cs="Arial"/>
          <w:sz w:val="20"/>
          <w:szCs w:val="20"/>
          <w:lang w:val="en-GB"/>
        </w:rPr>
        <w:lastRenderedPageBreak/>
        <w:t>protection, covering all offences established in accordance with the Convention, or to take further steps towards protecting whistleblowers, in accordance with the spirit of the Convention.</w:t>
      </w:r>
      <w:r w:rsidR="00EC32C8" w:rsidRPr="00097410">
        <w:rPr>
          <w:rStyle w:val="FootnoteReference"/>
          <w:rFonts w:ascii="Arial" w:hAnsi="Arial" w:cs="Arial"/>
          <w:sz w:val="20"/>
          <w:szCs w:val="20"/>
          <w:lang w:val="en-GB"/>
        </w:rPr>
        <w:footnoteReference w:id="6"/>
      </w:r>
      <w:r w:rsidR="00EC32C8" w:rsidRPr="00097410">
        <w:rPr>
          <w:rFonts w:ascii="Arial" w:hAnsi="Arial" w:cs="Arial"/>
          <w:sz w:val="20"/>
          <w:szCs w:val="20"/>
          <w:lang w:val="en-GB"/>
        </w:rPr>
        <w:t xml:space="preserve"> </w:t>
      </w:r>
      <w:r w:rsidR="00AF3726" w:rsidRPr="00097410">
        <w:rPr>
          <w:rFonts w:ascii="Arial" w:hAnsi="Arial" w:cs="Arial"/>
          <w:sz w:val="20"/>
          <w:szCs w:val="20"/>
          <w:lang w:val="en-GB"/>
        </w:rPr>
        <w:t>States</w:t>
      </w:r>
      <w:r w:rsidR="00097410" w:rsidRPr="00097410">
        <w:rPr>
          <w:rFonts w:ascii="Arial" w:hAnsi="Arial" w:cs="Arial"/>
          <w:sz w:val="20"/>
          <w:szCs w:val="20"/>
          <w:lang w:val="en-GB"/>
        </w:rPr>
        <w:t xml:space="preserve"> Parties</w:t>
      </w:r>
      <w:r w:rsidR="00AF3726" w:rsidRPr="00097410">
        <w:rPr>
          <w:rFonts w:ascii="Arial" w:hAnsi="Arial" w:cs="Arial"/>
          <w:sz w:val="20"/>
          <w:szCs w:val="20"/>
          <w:lang w:val="en-GB"/>
        </w:rPr>
        <w:t xml:space="preserve"> should implement the recommendations received </w:t>
      </w:r>
      <w:r w:rsidR="00EC32C8" w:rsidRPr="00097410">
        <w:rPr>
          <w:rFonts w:ascii="Arial" w:hAnsi="Arial" w:cs="Arial"/>
          <w:sz w:val="20"/>
          <w:szCs w:val="20"/>
          <w:lang w:val="en-GB"/>
        </w:rPr>
        <w:t>as part of the review of their implementation of UNCAC Chapter III.</w:t>
      </w:r>
    </w:p>
    <w:p w14:paraId="470F5323" w14:textId="77777777" w:rsidR="00CF5D25" w:rsidRPr="00097410" w:rsidRDefault="00CF5D25" w:rsidP="00CF5D25">
      <w:pPr>
        <w:pStyle w:val="Encabezamiento"/>
        <w:ind w:left="720"/>
        <w:jc w:val="both"/>
        <w:rPr>
          <w:rFonts w:ascii="Arial" w:hAnsi="Arial" w:cs="Arial"/>
          <w:sz w:val="20"/>
          <w:szCs w:val="20"/>
          <w:lang w:val="en-GB"/>
        </w:rPr>
      </w:pPr>
    </w:p>
    <w:p w14:paraId="48BE317E" w14:textId="25F5D03A" w:rsidR="00065D85" w:rsidRPr="00097410" w:rsidRDefault="008F63AB" w:rsidP="005A3061">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 xml:space="preserve">In the second cycle of the UNCAC Review Mechanism, </w:t>
      </w:r>
      <w:r w:rsidR="00097410" w:rsidRPr="00097410">
        <w:rPr>
          <w:rFonts w:ascii="Arial" w:hAnsi="Arial" w:cs="Arial"/>
          <w:sz w:val="20"/>
          <w:szCs w:val="20"/>
          <w:lang w:val="en-GB"/>
        </w:rPr>
        <w:t>State</w:t>
      </w:r>
      <w:r w:rsidR="00CF5D25" w:rsidRPr="00097410">
        <w:rPr>
          <w:rFonts w:ascii="Arial" w:hAnsi="Arial" w:cs="Arial"/>
          <w:sz w:val="20"/>
          <w:szCs w:val="20"/>
          <w:lang w:val="en-GB"/>
        </w:rPr>
        <w:t xml:space="preserve"> </w:t>
      </w:r>
      <w:r w:rsidR="00097410" w:rsidRPr="00097410">
        <w:rPr>
          <w:rFonts w:ascii="Arial" w:hAnsi="Arial" w:cs="Arial"/>
          <w:sz w:val="20"/>
          <w:szCs w:val="20"/>
          <w:lang w:val="en-GB"/>
        </w:rPr>
        <w:t>Parties</w:t>
      </w:r>
      <w:r w:rsidR="00A02530">
        <w:rPr>
          <w:rFonts w:ascii="Arial" w:hAnsi="Arial" w:cs="Arial"/>
          <w:sz w:val="20"/>
          <w:szCs w:val="20"/>
          <w:lang w:val="en-GB"/>
        </w:rPr>
        <w:t>’</w:t>
      </w:r>
      <w:r w:rsidR="00097410" w:rsidRPr="00097410">
        <w:rPr>
          <w:rFonts w:ascii="Arial" w:hAnsi="Arial" w:cs="Arial"/>
          <w:sz w:val="20"/>
          <w:szCs w:val="20"/>
          <w:lang w:val="en-GB"/>
        </w:rPr>
        <w:t xml:space="preserve"> </w:t>
      </w:r>
      <w:r w:rsidR="00EC32C8" w:rsidRPr="00097410">
        <w:rPr>
          <w:rFonts w:ascii="Arial" w:hAnsi="Arial" w:cs="Arial"/>
          <w:sz w:val="20"/>
          <w:szCs w:val="20"/>
          <w:lang w:val="en-GB"/>
        </w:rPr>
        <w:t>framework</w:t>
      </w:r>
      <w:r w:rsidR="00A02530">
        <w:rPr>
          <w:rFonts w:ascii="Arial" w:hAnsi="Arial" w:cs="Arial"/>
          <w:sz w:val="20"/>
          <w:szCs w:val="20"/>
          <w:lang w:val="en-GB"/>
        </w:rPr>
        <w:t>s</w:t>
      </w:r>
      <w:r w:rsidR="00EC32C8" w:rsidRPr="00097410">
        <w:rPr>
          <w:rFonts w:ascii="Arial" w:hAnsi="Arial" w:cs="Arial"/>
          <w:sz w:val="20"/>
          <w:szCs w:val="20"/>
          <w:lang w:val="en-GB"/>
        </w:rPr>
        <w:t xml:space="preserve"> for </w:t>
      </w:r>
      <w:r w:rsidRPr="00097410">
        <w:rPr>
          <w:rFonts w:ascii="Arial" w:hAnsi="Arial" w:cs="Arial"/>
          <w:sz w:val="20"/>
          <w:szCs w:val="20"/>
          <w:lang w:val="en-GB"/>
        </w:rPr>
        <w:t xml:space="preserve">the protection of whistleblowers in the public sector </w:t>
      </w:r>
      <w:r w:rsidR="00EC32C8" w:rsidRPr="00097410">
        <w:rPr>
          <w:rFonts w:ascii="Arial" w:hAnsi="Arial" w:cs="Arial"/>
          <w:sz w:val="20"/>
          <w:szCs w:val="20"/>
          <w:lang w:val="en-GB"/>
        </w:rPr>
        <w:t xml:space="preserve">are </w:t>
      </w:r>
      <w:r w:rsidR="00065D85" w:rsidRPr="00097410">
        <w:rPr>
          <w:rFonts w:ascii="Arial" w:hAnsi="Arial" w:cs="Arial"/>
          <w:sz w:val="20"/>
          <w:szCs w:val="20"/>
          <w:lang w:val="en-GB"/>
        </w:rPr>
        <w:t xml:space="preserve">being </w:t>
      </w:r>
      <w:r w:rsidRPr="00097410">
        <w:rPr>
          <w:rFonts w:ascii="Arial" w:hAnsi="Arial" w:cs="Arial"/>
          <w:sz w:val="20"/>
          <w:szCs w:val="20"/>
          <w:lang w:val="en-GB"/>
        </w:rPr>
        <w:t xml:space="preserve">further </w:t>
      </w:r>
      <w:r w:rsidR="00EC32C8" w:rsidRPr="00097410">
        <w:rPr>
          <w:rFonts w:ascii="Arial" w:hAnsi="Arial" w:cs="Arial"/>
          <w:sz w:val="20"/>
          <w:szCs w:val="20"/>
          <w:lang w:val="en-GB"/>
        </w:rPr>
        <w:t>examined</w:t>
      </w:r>
      <w:r w:rsidR="00CF5D25" w:rsidRPr="00097410">
        <w:rPr>
          <w:rFonts w:ascii="Arial" w:hAnsi="Arial" w:cs="Arial"/>
          <w:sz w:val="20"/>
          <w:szCs w:val="20"/>
          <w:lang w:val="en-GB"/>
        </w:rPr>
        <w:t>, when assessing the implementation of Article 8(4) on facilitating reporting by public officials</w:t>
      </w:r>
      <w:r w:rsidR="0013577B" w:rsidRPr="00097410">
        <w:rPr>
          <w:rFonts w:ascii="Arial" w:hAnsi="Arial" w:cs="Arial"/>
          <w:sz w:val="20"/>
          <w:szCs w:val="20"/>
          <w:lang w:val="en-GB"/>
        </w:rPr>
        <w:t xml:space="preserve">. </w:t>
      </w:r>
      <w:r w:rsidR="00065D85" w:rsidRPr="00097410">
        <w:rPr>
          <w:rFonts w:ascii="Arial" w:hAnsi="Arial" w:cs="Arial"/>
          <w:sz w:val="20"/>
          <w:szCs w:val="20"/>
          <w:lang w:val="en-GB"/>
        </w:rPr>
        <w:t>Transparency International recommends that country reviews test more rigorously whether adequate whistleblower framework</w:t>
      </w:r>
      <w:r w:rsidR="00097410" w:rsidRPr="00097410">
        <w:rPr>
          <w:rFonts w:ascii="Arial" w:hAnsi="Arial" w:cs="Arial"/>
          <w:sz w:val="20"/>
          <w:szCs w:val="20"/>
          <w:lang w:val="en-GB"/>
        </w:rPr>
        <w:t>s</w:t>
      </w:r>
      <w:r w:rsidR="00065D85" w:rsidRPr="00097410">
        <w:rPr>
          <w:rFonts w:ascii="Arial" w:hAnsi="Arial" w:cs="Arial"/>
          <w:sz w:val="20"/>
          <w:szCs w:val="20"/>
          <w:lang w:val="en-GB"/>
        </w:rPr>
        <w:t xml:space="preserve"> are in place and to what extent they work in practice. </w:t>
      </w:r>
      <w:r w:rsidR="00065D85" w:rsidRPr="00097410">
        <w:rPr>
          <w:rStyle w:val="FootnoteReference"/>
          <w:rFonts w:ascii="Arial" w:hAnsi="Arial" w:cs="Arial"/>
          <w:sz w:val="20"/>
          <w:szCs w:val="20"/>
          <w:lang w:val="en-GB"/>
        </w:rPr>
        <w:footnoteReference w:id="7"/>
      </w:r>
    </w:p>
    <w:p w14:paraId="16E302E6" w14:textId="77777777" w:rsidR="00065D85" w:rsidRPr="00097410" w:rsidRDefault="00065D85" w:rsidP="00065D85">
      <w:pPr>
        <w:pStyle w:val="ListParagraph"/>
        <w:rPr>
          <w:rFonts w:cs="Arial"/>
          <w:sz w:val="20"/>
          <w:szCs w:val="20"/>
          <w:lang w:val="en-GB"/>
        </w:rPr>
      </w:pPr>
    </w:p>
    <w:p w14:paraId="57E73C2F" w14:textId="5E76591B" w:rsidR="00AF3726" w:rsidRDefault="00065D85" w:rsidP="00065D85">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 xml:space="preserve">Transparency International welcomes the fact that some country reviews have examined measures to facilitate reporting and the protection of reporting persons in the private sector, as part of the review of implementation of </w:t>
      </w:r>
      <w:r w:rsidR="00097410" w:rsidRPr="00097410">
        <w:rPr>
          <w:rFonts w:ascii="Arial" w:hAnsi="Arial" w:cs="Arial"/>
          <w:sz w:val="20"/>
          <w:szCs w:val="20"/>
          <w:lang w:val="en-GB"/>
        </w:rPr>
        <w:t xml:space="preserve">UNCAC </w:t>
      </w:r>
      <w:r w:rsidR="00CF5D25" w:rsidRPr="00097410">
        <w:rPr>
          <w:rFonts w:ascii="Arial" w:hAnsi="Arial" w:cs="Arial"/>
          <w:sz w:val="20"/>
          <w:szCs w:val="20"/>
          <w:lang w:val="en-GB"/>
        </w:rPr>
        <w:t>Article 12 on the private sector</w:t>
      </w:r>
      <w:r w:rsidRPr="00097410">
        <w:rPr>
          <w:rFonts w:ascii="Arial" w:hAnsi="Arial" w:cs="Arial"/>
          <w:sz w:val="20"/>
          <w:szCs w:val="20"/>
          <w:lang w:val="en-GB"/>
        </w:rPr>
        <w:t xml:space="preserve">. </w:t>
      </w:r>
      <w:r w:rsidR="00853808">
        <w:rPr>
          <w:rFonts w:ascii="Arial" w:hAnsi="Arial" w:cs="Arial"/>
          <w:sz w:val="20"/>
          <w:szCs w:val="20"/>
          <w:lang w:val="en-GB"/>
        </w:rPr>
        <w:t>We</w:t>
      </w:r>
      <w:r w:rsidRPr="00097410">
        <w:rPr>
          <w:rFonts w:ascii="Arial" w:hAnsi="Arial" w:cs="Arial"/>
          <w:sz w:val="20"/>
          <w:szCs w:val="20"/>
          <w:lang w:val="en-GB"/>
        </w:rPr>
        <w:t xml:space="preserve"> recommend</w:t>
      </w:r>
      <w:r w:rsidR="001C2E77" w:rsidRPr="00097410">
        <w:rPr>
          <w:rFonts w:ascii="Arial" w:hAnsi="Arial" w:cs="Arial"/>
          <w:sz w:val="20"/>
          <w:szCs w:val="20"/>
          <w:lang w:val="en-GB"/>
        </w:rPr>
        <w:t>s</w:t>
      </w:r>
      <w:r w:rsidRPr="00097410">
        <w:rPr>
          <w:rFonts w:ascii="Arial" w:hAnsi="Arial" w:cs="Arial"/>
          <w:sz w:val="20"/>
          <w:szCs w:val="20"/>
          <w:lang w:val="en-GB"/>
        </w:rPr>
        <w:t xml:space="preserve"> th</w:t>
      </w:r>
      <w:r w:rsidR="001C2E77" w:rsidRPr="00097410">
        <w:rPr>
          <w:rFonts w:ascii="Arial" w:hAnsi="Arial" w:cs="Arial"/>
          <w:sz w:val="20"/>
          <w:szCs w:val="20"/>
          <w:lang w:val="en-GB"/>
        </w:rPr>
        <w:t xml:space="preserve">at such review </w:t>
      </w:r>
      <w:r w:rsidR="00A02530">
        <w:rPr>
          <w:rFonts w:ascii="Arial" w:hAnsi="Arial" w:cs="Arial"/>
          <w:sz w:val="20"/>
          <w:szCs w:val="20"/>
          <w:lang w:val="en-GB"/>
        </w:rPr>
        <w:t>be</w:t>
      </w:r>
      <w:r w:rsidR="001C2E77" w:rsidRPr="00097410">
        <w:rPr>
          <w:rFonts w:ascii="Arial" w:hAnsi="Arial" w:cs="Arial"/>
          <w:sz w:val="20"/>
          <w:szCs w:val="20"/>
          <w:lang w:val="en-GB"/>
        </w:rPr>
        <w:t xml:space="preserve"> system</w:t>
      </w:r>
      <w:r w:rsidR="00097410" w:rsidRPr="00097410">
        <w:rPr>
          <w:rFonts w:ascii="Arial" w:hAnsi="Arial" w:cs="Arial"/>
          <w:sz w:val="20"/>
          <w:szCs w:val="20"/>
          <w:lang w:val="en-GB"/>
        </w:rPr>
        <w:t>a</w:t>
      </w:r>
      <w:r w:rsidR="001C2E77" w:rsidRPr="00097410">
        <w:rPr>
          <w:rFonts w:ascii="Arial" w:hAnsi="Arial" w:cs="Arial"/>
          <w:sz w:val="20"/>
          <w:szCs w:val="20"/>
          <w:lang w:val="en-GB"/>
        </w:rPr>
        <w:t>tic</w:t>
      </w:r>
      <w:r w:rsidR="00CF5D25" w:rsidRPr="00097410">
        <w:rPr>
          <w:rFonts w:ascii="Arial" w:hAnsi="Arial" w:cs="Arial"/>
          <w:sz w:val="20"/>
          <w:szCs w:val="20"/>
          <w:lang w:val="en-GB"/>
        </w:rPr>
        <w:t xml:space="preserve">, as </w:t>
      </w:r>
      <w:r w:rsidR="00853808">
        <w:rPr>
          <w:rFonts w:ascii="Arial" w:hAnsi="Arial" w:cs="Arial"/>
          <w:sz w:val="20"/>
          <w:szCs w:val="20"/>
          <w:lang w:val="en-GB"/>
        </w:rPr>
        <w:t xml:space="preserve">these </w:t>
      </w:r>
      <w:r w:rsidR="00CF5D25" w:rsidRPr="00097410">
        <w:rPr>
          <w:rFonts w:ascii="Arial" w:hAnsi="Arial" w:cs="Arial"/>
          <w:sz w:val="20"/>
          <w:szCs w:val="20"/>
          <w:lang w:val="en-GB"/>
        </w:rPr>
        <w:t>are effective measures to prevent corruption involving the private sector</w:t>
      </w:r>
      <w:r w:rsidR="009531B5" w:rsidRPr="00097410">
        <w:rPr>
          <w:rFonts w:ascii="Arial" w:hAnsi="Arial" w:cs="Arial"/>
          <w:sz w:val="20"/>
          <w:szCs w:val="20"/>
          <w:lang w:val="en-GB"/>
        </w:rPr>
        <w:t>.</w:t>
      </w:r>
      <w:r w:rsidR="009531B5" w:rsidRPr="00097410">
        <w:rPr>
          <w:rStyle w:val="FootnoteReference"/>
          <w:rFonts w:ascii="Arial" w:hAnsi="Arial" w:cs="Arial"/>
          <w:sz w:val="20"/>
          <w:szCs w:val="20"/>
          <w:lang w:val="en-GB"/>
        </w:rPr>
        <w:footnoteReference w:id="8"/>
      </w:r>
    </w:p>
    <w:p w14:paraId="0A96DD60" w14:textId="77777777" w:rsidR="00B63A3A" w:rsidRDefault="00B63A3A" w:rsidP="00B63A3A">
      <w:pPr>
        <w:pStyle w:val="ListParagraph"/>
        <w:rPr>
          <w:rFonts w:cs="Arial"/>
          <w:sz w:val="20"/>
          <w:szCs w:val="20"/>
          <w:lang w:val="en-GB"/>
        </w:rPr>
      </w:pPr>
    </w:p>
    <w:p w14:paraId="3A3F2746" w14:textId="3D29ACC2" w:rsidR="00B63A3A" w:rsidRPr="00097410" w:rsidRDefault="00B63A3A" w:rsidP="00065D85">
      <w:pPr>
        <w:pStyle w:val="Encabezamiento"/>
        <w:numPr>
          <w:ilvl w:val="0"/>
          <w:numId w:val="20"/>
        </w:numPr>
        <w:jc w:val="both"/>
        <w:rPr>
          <w:rFonts w:ascii="Arial" w:hAnsi="Arial" w:cs="Arial"/>
          <w:sz w:val="20"/>
          <w:szCs w:val="20"/>
          <w:lang w:val="en-GB"/>
        </w:rPr>
      </w:pPr>
      <w:r w:rsidRPr="00B63A3A">
        <w:rPr>
          <w:rFonts w:ascii="Arial" w:hAnsi="Arial" w:cs="Arial"/>
          <w:sz w:val="20"/>
          <w:szCs w:val="20"/>
          <w:lang w:val="en-US"/>
        </w:rPr>
        <w:t xml:space="preserve">We call on the UNCAC Conference of States Parties to adopt a resolution at its 8th session </w:t>
      </w:r>
      <w:r>
        <w:rPr>
          <w:rFonts w:ascii="Arial" w:hAnsi="Arial" w:cs="Arial"/>
          <w:sz w:val="20"/>
          <w:szCs w:val="20"/>
          <w:lang w:val="en-US"/>
        </w:rPr>
        <w:t xml:space="preserve">that </w:t>
      </w:r>
      <w:r w:rsidRPr="00853808">
        <w:rPr>
          <w:rFonts w:ascii="Arial" w:hAnsi="Arial" w:cs="Arial"/>
          <w:sz w:val="20"/>
          <w:szCs w:val="20"/>
          <w:lang w:val="en-GB"/>
        </w:rPr>
        <w:t>recognise</w:t>
      </w:r>
      <w:r>
        <w:rPr>
          <w:rFonts w:ascii="Arial" w:hAnsi="Arial" w:cs="Arial"/>
          <w:sz w:val="20"/>
          <w:szCs w:val="20"/>
          <w:lang w:val="en-US"/>
        </w:rPr>
        <w:t xml:space="preserve"> the importance of providing </w:t>
      </w:r>
      <w:r w:rsidRPr="00097410">
        <w:rPr>
          <w:rFonts w:ascii="Arial" w:hAnsi="Arial" w:cs="Arial"/>
          <w:sz w:val="20"/>
          <w:szCs w:val="20"/>
          <w:lang w:val="en-GB"/>
        </w:rPr>
        <w:t>reporting mechanisms</w:t>
      </w:r>
      <w:r>
        <w:rPr>
          <w:rFonts w:ascii="Arial" w:hAnsi="Arial" w:cs="Arial"/>
          <w:sz w:val="20"/>
          <w:szCs w:val="20"/>
          <w:lang w:val="en-GB"/>
        </w:rPr>
        <w:t xml:space="preserve"> and </w:t>
      </w:r>
      <w:r w:rsidRPr="00097410">
        <w:rPr>
          <w:rFonts w:ascii="Arial" w:hAnsi="Arial" w:cs="Arial"/>
          <w:sz w:val="20"/>
          <w:szCs w:val="20"/>
          <w:lang w:val="en-GB"/>
        </w:rPr>
        <w:t>robust protect</w:t>
      </w:r>
      <w:r>
        <w:rPr>
          <w:rFonts w:ascii="Arial" w:hAnsi="Arial" w:cs="Arial"/>
          <w:sz w:val="20"/>
          <w:szCs w:val="20"/>
          <w:lang w:val="en-GB"/>
        </w:rPr>
        <w:t>ion to whistleblowers in the private sector as a measure to</w:t>
      </w:r>
      <w:r w:rsidRPr="00097410">
        <w:rPr>
          <w:rFonts w:ascii="Arial" w:hAnsi="Arial" w:cs="Arial"/>
          <w:sz w:val="20"/>
          <w:szCs w:val="20"/>
          <w:lang w:val="en-GB"/>
        </w:rPr>
        <w:t xml:space="preserve"> prevent corruption involving the private sector</w:t>
      </w:r>
      <w:r w:rsidR="00853808">
        <w:rPr>
          <w:rFonts w:ascii="Arial" w:hAnsi="Arial" w:cs="Arial"/>
          <w:sz w:val="20"/>
          <w:szCs w:val="20"/>
          <w:lang w:val="en-GB"/>
        </w:rPr>
        <w:t>.</w:t>
      </w:r>
    </w:p>
    <w:p w14:paraId="15FCCCE6" w14:textId="77777777" w:rsidR="00AF3726" w:rsidRPr="00097410" w:rsidRDefault="00AF3726" w:rsidP="00DE13FC">
      <w:pPr>
        <w:pStyle w:val="Encabezamiento"/>
        <w:ind w:left="0"/>
        <w:jc w:val="both"/>
        <w:rPr>
          <w:rFonts w:ascii="Arial" w:hAnsi="Arial" w:cs="Arial"/>
          <w:sz w:val="20"/>
          <w:szCs w:val="20"/>
          <w:lang w:val="en-GB"/>
        </w:rPr>
      </w:pPr>
    </w:p>
    <w:p w14:paraId="12F2A36F" w14:textId="77AA279B" w:rsidR="000C76D6" w:rsidRPr="00097410" w:rsidRDefault="00C615C1" w:rsidP="006A3BFB">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 xml:space="preserve">2019 has already </w:t>
      </w:r>
      <w:r w:rsidR="00DB187B" w:rsidRPr="00097410">
        <w:rPr>
          <w:rFonts w:ascii="Arial" w:hAnsi="Arial" w:cs="Arial"/>
          <w:sz w:val="20"/>
          <w:szCs w:val="20"/>
          <w:lang w:val="en-GB"/>
        </w:rPr>
        <w:t>seen</w:t>
      </w:r>
      <w:r w:rsidRPr="00097410">
        <w:rPr>
          <w:rFonts w:ascii="Arial" w:hAnsi="Arial" w:cs="Arial"/>
          <w:sz w:val="20"/>
          <w:szCs w:val="20"/>
          <w:lang w:val="en-GB"/>
        </w:rPr>
        <w:t xml:space="preserve"> improvements to whistleblower protection in </w:t>
      </w:r>
      <w:r w:rsidR="00244AFA" w:rsidRPr="00097410">
        <w:rPr>
          <w:rFonts w:ascii="Arial" w:hAnsi="Arial" w:cs="Arial"/>
          <w:sz w:val="20"/>
          <w:szCs w:val="20"/>
          <w:lang w:val="en-GB"/>
        </w:rPr>
        <w:t>many State Parties</w:t>
      </w:r>
      <w:r w:rsidRPr="00097410">
        <w:rPr>
          <w:rFonts w:ascii="Arial" w:hAnsi="Arial" w:cs="Arial"/>
          <w:sz w:val="20"/>
          <w:szCs w:val="20"/>
          <w:lang w:val="en-GB"/>
        </w:rPr>
        <w:t xml:space="preserve">. </w:t>
      </w:r>
      <w:r w:rsidR="00445170" w:rsidRPr="00097410">
        <w:rPr>
          <w:rFonts w:ascii="Arial" w:hAnsi="Arial" w:cs="Arial"/>
          <w:sz w:val="20"/>
          <w:szCs w:val="20"/>
          <w:lang w:val="en-GB"/>
        </w:rPr>
        <w:t xml:space="preserve">The G20 endorsed High-Level Principles for the Effective Protection of Whistleblowers, and at </w:t>
      </w:r>
      <w:r w:rsidR="00244AFA" w:rsidRPr="00097410">
        <w:rPr>
          <w:rFonts w:ascii="Arial" w:hAnsi="Arial" w:cs="Arial"/>
          <w:sz w:val="20"/>
          <w:szCs w:val="20"/>
          <w:lang w:val="en-GB"/>
        </w:rPr>
        <w:t>the regional level, t</w:t>
      </w:r>
      <w:r w:rsidRPr="00097410">
        <w:rPr>
          <w:rFonts w:ascii="Arial" w:hAnsi="Arial" w:cs="Arial"/>
          <w:sz w:val="20"/>
          <w:szCs w:val="20"/>
          <w:lang w:val="en-GB"/>
        </w:rPr>
        <w:t xml:space="preserve">he new EU directive on whistleblower protection contain very advanced provisions. </w:t>
      </w:r>
      <w:r w:rsidR="003F28D3" w:rsidRPr="00097410">
        <w:rPr>
          <w:rFonts w:ascii="Arial" w:hAnsi="Arial" w:cs="Arial"/>
          <w:sz w:val="20"/>
          <w:szCs w:val="20"/>
          <w:lang w:val="en-GB"/>
        </w:rPr>
        <w:t>Member States</w:t>
      </w:r>
      <w:r w:rsidR="00A21707" w:rsidRPr="00097410">
        <w:rPr>
          <w:rFonts w:ascii="Arial" w:hAnsi="Arial" w:cs="Arial"/>
          <w:sz w:val="20"/>
          <w:szCs w:val="20"/>
          <w:lang w:val="en-GB"/>
        </w:rPr>
        <w:t xml:space="preserve"> should </w:t>
      </w:r>
      <w:r w:rsidRPr="00097410">
        <w:rPr>
          <w:rFonts w:ascii="Arial" w:hAnsi="Arial" w:cs="Arial"/>
          <w:sz w:val="20"/>
          <w:szCs w:val="20"/>
          <w:lang w:val="en-GB"/>
        </w:rPr>
        <w:t xml:space="preserve">build on this momentum to </w:t>
      </w:r>
      <w:r w:rsidR="00BE3525" w:rsidRPr="00097410">
        <w:rPr>
          <w:rFonts w:ascii="Arial" w:hAnsi="Arial" w:cs="Arial"/>
          <w:sz w:val="20"/>
          <w:szCs w:val="20"/>
          <w:lang w:val="en-GB"/>
        </w:rPr>
        <w:t>adopt</w:t>
      </w:r>
      <w:r w:rsidR="00445170" w:rsidRPr="00097410">
        <w:rPr>
          <w:rFonts w:ascii="Arial" w:hAnsi="Arial" w:cs="Arial"/>
          <w:sz w:val="20"/>
          <w:szCs w:val="20"/>
          <w:lang w:val="en-GB"/>
        </w:rPr>
        <w:t>,</w:t>
      </w:r>
      <w:r w:rsidR="00BE3525" w:rsidRPr="00097410">
        <w:rPr>
          <w:rFonts w:ascii="Arial" w:hAnsi="Arial" w:cs="Arial"/>
          <w:sz w:val="20"/>
          <w:szCs w:val="20"/>
          <w:lang w:val="en-GB"/>
        </w:rPr>
        <w:t xml:space="preserve"> </w:t>
      </w:r>
      <w:r w:rsidR="002B22DB" w:rsidRPr="00097410">
        <w:rPr>
          <w:rFonts w:ascii="Arial" w:hAnsi="Arial" w:cs="Arial"/>
          <w:sz w:val="20"/>
          <w:szCs w:val="20"/>
          <w:lang w:val="en-GB"/>
        </w:rPr>
        <w:t>or improve</w:t>
      </w:r>
      <w:r w:rsidR="00445170" w:rsidRPr="00097410">
        <w:rPr>
          <w:rFonts w:ascii="Arial" w:hAnsi="Arial" w:cs="Arial"/>
          <w:sz w:val="20"/>
          <w:szCs w:val="20"/>
          <w:lang w:val="en-GB"/>
        </w:rPr>
        <w:t>,</w:t>
      </w:r>
      <w:r w:rsidR="002B22DB" w:rsidRPr="00097410">
        <w:rPr>
          <w:rFonts w:ascii="Arial" w:hAnsi="Arial" w:cs="Arial"/>
          <w:sz w:val="20"/>
          <w:szCs w:val="20"/>
          <w:lang w:val="en-GB"/>
        </w:rPr>
        <w:t xml:space="preserve"> </w:t>
      </w:r>
      <w:r w:rsidR="00BE3525" w:rsidRPr="00097410">
        <w:rPr>
          <w:rFonts w:ascii="Arial" w:hAnsi="Arial" w:cs="Arial"/>
          <w:sz w:val="20"/>
          <w:szCs w:val="20"/>
          <w:lang w:val="en-GB"/>
        </w:rPr>
        <w:t xml:space="preserve">and implement </w:t>
      </w:r>
      <w:r w:rsidR="002B22DB" w:rsidRPr="00097410">
        <w:rPr>
          <w:rFonts w:ascii="Arial" w:hAnsi="Arial" w:cs="Arial"/>
          <w:sz w:val="20"/>
          <w:szCs w:val="20"/>
          <w:lang w:val="en-GB"/>
        </w:rPr>
        <w:t>national legislation</w:t>
      </w:r>
      <w:r w:rsidR="00EA0B0E" w:rsidRPr="00097410">
        <w:rPr>
          <w:rFonts w:ascii="Arial" w:hAnsi="Arial" w:cs="Arial"/>
          <w:sz w:val="20"/>
          <w:szCs w:val="20"/>
          <w:lang w:val="en-GB"/>
        </w:rPr>
        <w:t xml:space="preserve"> that </w:t>
      </w:r>
      <w:r w:rsidR="002B22DB" w:rsidRPr="00097410">
        <w:rPr>
          <w:rFonts w:ascii="Arial" w:hAnsi="Arial" w:cs="Arial"/>
          <w:sz w:val="20"/>
          <w:szCs w:val="20"/>
          <w:lang w:val="en-GB"/>
        </w:rPr>
        <w:t>is</w:t>
      </w:r>
      <w:r w:rsidR="00BE3525" w:rsidRPr="00097410">
        <w:rPr>
          <w:rFonts w:ascii="Arial" w:hAnsi="Arial" w:cs="Arial"/>
          <w:sz w:val="20"/>
          <w:szCs w:val="20"/>
          <w:lang w:val="en-GB"/>
        </w:rPr>
        <w:t xml:space="preserve"> in line with</w:t>
      </w:r>
      <w:r w:rsidR="007A7310" w:rsidRPr="00097410">
        <w:rPr>
          <w:rFonts w:ascii="Arial" w:hAnsi="Arial" w:cs="Arial"/>
          <w:sz w:val="20"/>
          <w:szCs w:val="20"/>
          <w:lang w:val="en-GB"/>
        </w:rPr>
        <w:t xml:space="preserve"> </w:t>
      </w:r>
      <w:r w:rsidR="00BE3525" w:rsidRPr="00097410">
        <w:rPr>
          <w:rFonts w:ascii="Arial" w:hAnsi="Arial" w:cs="Arial"/>
          <w:sz w:val="20"/>
          <w:szCs w:val="20"/>
          <w:lang w:val="en-GB"/>
        </w:rPr>
        <w:t>international standards and best practice</w:t>
      </w:r>
      <w:r w:rsidR="00EA0B0E" w:rsidRPr="00097410">
        <w:rPr>
          <w:rFonts w:ascii="Arial" w:hAnsi="Arial" w:cs="Arial"/>
          <w:sz w:val="20"/>
          <w:szCs w:val="20"/>
          <w:lang w:val="en-GB"/>
        </w:rPr>
        <w:t>,</w:t>
      </w:r>
      <w:r w:rsidR="00BE3525" w:rsidRPr="00097410">
        <w:rPr>
          <w:rFonts w:ascii="Arial" w:hAnsi="Arial" w:cs="Arial"/>
          <w:sz w:val="20"/>
          <w:szCs w:val="20"/>
          <w:lang w:val="en-GB"/>
        </w:rPr>
        <w:t xml:space="preserve"> such as T</w:t>
      </w:r>
      <w:r w:rsidR="001E695E" w:rsidRPr="00097410">
        <w:rPr>
          <w:rFonts w:ascii="Arial" w:hAnsi="Arial" w:cs="Arial"/>
          <w:sz w:val="20"/>
          <w:szCs w:val="20"/>
          <w:lang w:val="en-GB"/>
        </w:rPr>
        <w:t>I</w:t>
      </w:r>
      <w:r w:rsidR="00BE3525" w:rsidRPr="00097410">
        <w:rPr>
          <w:rFonts w:ascii="Arial" w:hAnsi="Arial" w:cs="Arial"/>
          <w:sz w:val="20"/>
          <w:szCs w:val="20"/>
          <w:lang w:val="en-GB"/>
        </w:rPr>
        <w:t xml:space="preserve"> </w:t>
      </w:r>
      <w:hyperlink r:id="rId8" w:history="1">
        <w:r w:rsidR="00BE3525" w:rsidRPr="00097410">
          <w:rPr>
            <w:rStyle w:val="Hyperlink"/>
            <w:u w:val="none"/>
            <w:lang w:val="en-GB"/>
          </w:rPr>
          <w:t>International Principles for Whistleblowing Legislation</w:t>
        </w:r>
      </w:hyperlink>
      <w:r w:rsidR="00A02530">
        <w:rPr>
          <w:rFonts w:ascii="Arial" w:hAnsi="Arial" w:cs="Arial"/>
          <w:color w:val="auto"/>
          <w:sz w:val="20"/>
          <w:szCs w:val="20"/>
          <w:lang w:val="en-GB"/>
        </w:rPr>
        <w:t>, which include the following guidance:</w:t>
      </w:r>
    </w:p>
    <w:p w14:paraId="3E8C2BD0" w14:textId="5EEC8484" w:rsidR="00BE3525" w:rsidRPr="00097410" w:rsidRDefault="00BE3525" w:rsidP="00DE13FC">
      <w:pPr>
        <w:pStyle w:val="Encabezamiento"/>
        <w:ind w:left="0"/>
        <w:jc w:val="both"/>
        <w:rPr>
          <w:rFonts w:ascii="Arial" w:hAnsi="Arial" w:cs="Arial"/>
          <w:sz w:val="20"/>
          <w:szCs w:val="20"/>
          <w:lang w:val="en-GB"/>
        </w:rPr>
      </w:pPr>
    </w:p>
    <w:p w14:paraId="2EDBC6BD" w14:textId="7C114394" w:rsidR="003E2A3A"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Scope of application</w:t>
      </w:r>
      <w:r w:rsidRPr="00097410">
        <w:rPr>
          <w:rFonts w:ascii="Arial" w:hAnsi="Arial" w:cs="Arial"/>
          <w:sz w:val="20"/>
          <w:szCs w:val="20"/>
          <w:lang w:val="en-GB"/>
        </w:rPr>
        <w:t xml:space="preserve">: </w:t>
      </w:r>
      <w:r w:rsidR="00D95C62" w:rsidRPr="00097410">
        <w:rPr>
          <w:rFonts w:ascii="Arial" w:hAnsi="Arial" w:cs="Arial"/>
          <w:sz w:val="20"/>
          <w:szCs w:val="20"/>
          <w:lang w:val="en-GB"/>
        </w:rPr>
        <w:t>It</w:t>
      </w:r>
      <w:r w:rsidR="00321924" w:rsidRPr="00097410">
        <w:rPr>
          <w:rFonts w:ascii="Arial" w:hAnsi="Arial" w:cs="Arial"/>
          <w:sz w:val="20"/>
          <w:szCs w:val="20"/>
          <w:lang w:val="en-GB"/>
        </w:rPr>
        <w:t xml:space="preserve"> should be as wide as possible to cover every possible whistleblowing situation and ensure that all whistleblowers are protected. </w:t>
      </w:r>
      <w:r w:rsidRPr="00097410">
        <w:rPr>
          <w:rFonts w:ascii="Arial" w:hAnsi="Arial" w:cs="Arial"/>
          <w:sz w:val="20"/>
          <w:szCs w:val="20"/>
          <w:lang w:val="en-GB"/>
        </w:rPr>
        <w:t>A wide range of categories of wrongdoing should be cover and a wide definition of whistleblower (beyond traditional employee-employer relationship) should be provide</w:t>
      </w:r>
      <w:r w:rsidRPr="00097410">
        <w:rPr>
          <w:rFonts w:ascii="Arial" w:hAnsi="Arial" w:cs="Arial"/>
          <w:bCs/>
          <w:sz w:val="20"/>
          <w:szCs w:val="20"/>
          <w:lang w:val="en-GB"/>
        </w:rPr>
        <w:t>d</w:t>
      </w:r>
      <w:r w:rsidRPr="00097410">
        <w:rPr>
          <w:rFonts w:ascii="Arial" w:hAnsi="Arial" w:cs="Arial"/>
          <w:sz w:val="20"/>
          <w:szCs w:val="20"/>
          <w:lang w:val="en-GB"/>
        </w:rPr>
        <w:t>. Both the private and public sector should be cover</w:t>
      </w:r>
      <w:r w:rsidRPr="00097410">
        <w:rPr>
          <w:rFonts w:ascii="Arial" w:hAnsi="Arial" w:cs="Arial"/>
          <w:bCs/>
          <w:sz w:val="20"/>
          <w:szCs w:val="20"/>
          <w:lang w:val="en-GB"/>
        </w:rPr>
        <w:t>ed</w:t>
      </w:r>
      <w:r w:rsidRPr="00097410">
        <w:rPr>
          <w:rFonts w:ascii="Arial" w:hAnsi="Arial" w:cs="Arial"/>
          <w:sz w:val="20"/>
          <w:szCs w:val="20"/>
          <w:lang w:val="en-GB"/>
        </w:rPr>
        <w:t xml:space="preserve">. </w:t>
      </w:r>
    </w:p>
    <w:p w14:paraId="54B76F53" w14:textId="77777777" w:rsidR="00144377" w:rsidRPr="00097410" w:rsidRDefault="00144377" w:rsidP="00144377">
      <w:pPr>
        <w:pStyle w:val="Encabezamiento"/>
        <w:ind w:left="0"/>
        <w:jc w:val="both"/>
        <w:rPr>
          <w:rFonts w:ascii="Arial" w:hAnsi="Arial" w:cs="Arial"/>
          <w:b/>
          <w:sz w:val="20"/>
          <w:szCs w:val="20"/>
          <w:lang w:val="en-GB"/>
        </w:rPr>
      </w:pPr>
    </w:p>
    <w:p w14:paraId="227995DE" w14:textId="3D5A8545" w:rsidR="00BE3525" w:rsidRPr="00097410" w:rsidRDefault="00BC183D"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Conditions for protection</w:t>
      </w:r>
      <w:r w:rsidRPr="00097410">
        <w:rPr>
          <w:rFonts w:ascii="Arial" w:hAnsi="Arial" w:cs="Arial"/>
          <w:sz w:val="20"/>
          <w:szCs w:val="20"/>
          <w:lang w:val="en-GB"/>
        </w:rPr>
        <w:t xml:space="preserve">: </w:t>
      </w:r>
      <w:r w:rsidR="00BE3525" w:rsidRPr="00097410">
        <w:rPr>
          <w:rFonts w:ascii="Arial" w:hAnsi="Arial" w:cs="Arial"/>
          <w:sz w:val="20"/>
          <w:szCs w:val="20"/>
          <w:lang w:val="en-GB"/>
        </w:rPr>
        <w:t>The motives of a whistleblower in reporting information that they believe to be true should be unequivocally irrelevant to the granting of protection.</w:t>
      </w:r>
    </w:p>
    <w:p w14:paraId="74B33F25" w14:textId="77777777" w:rsidR="00144377" w:rsidRPr="00097410" w:rsidRDefault="00144377" w:rsidP="00144377">
      <w:pPr>
        <w:pStyle w:val="Encabezamiento"/>
        <w:ind w:left="0"/>
        <w:jc w:val="both"/>
        <w:rPr>
          <w:rFonts w:ascii="Arial" w:hAnsi="Arial" w:cs="Arial"/>
          <w:b/>
          <w:bCs/>
          <w:sz w:val="20"/>
          <w:szCs w:val="20"/>
          <w:lang w:val="en-GB"/>
        </w:rPr>
      </w:pPr>
    </w:p>
    <w:p w14:paraId="170ED4AE" w14:textId="1C369307" w:rsidR="003E2A3A"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Protection</w:t>
      </w:r>
      <w:r w:rsidRPr="00097410">
        <w:rPr>
          <w:rFonts w:ascii="Arial" w:hAnsi="Arial" w:cs="Arial"/>
          <w:sz w:val="20"/>
          <w:szCs w:val="20"/>
          <w:lang w:val="en-GB"/>
        </w:rPr>
        <w:t xml:space="preserve">: </w:t>
      </w:r>
      <w:r w:rsidR="00B60C53" w:rsidRPr="00097410">
        <w:rPr>
          <w:rFonts w:ascii="Arial" w:hAnsi="Arial" w:cs="Arial"/>
          <w:sz w:val="20"/>
          <w:szCs w:val="20"/>
          <w:lang w:val="en-GB"/>
        </w:rPr>
        <w:t xml:space="preserve">Whistleblowers </w:t>
      </w:r>
      <w:r w:rsidR="009A6A80" w:rsidRPr="00097410">
        <w:rPr>
          <w:rFonts w:ascii="Arial" w:hAnsi="Arial" w:cs="Arial"/>
          <w:sz w:val="20"/>
          <w:szCs w:val="20"/>
          <w:lang w:val="en-GB"/>
        </w:rPr>
        <w:t>should be protected against all forms of retaliation, disadvantage or discrimination</w:t>
      </w:r>
      <w:r w:rsidRPr="00097410">
        <w:rPr>
          <w:rFonts w:ascii="Arial" w:hAnsi="Arial" w:cs="Arial"/>
          <w:sz w:val="20"/>
          <w:szCs w:val="20"/>
          <w:lang w:val="en-GB"/>
        </w:rPr>
        <w:t xml:space="preserve">, including </w:t>
      </w:r>
      <w:r w:rsidR="009A6A80" w:rsidRPr="00097410">
        <w:rPr>
          <w:rFonts w:ascii="Arial" w:hAnsi="Arial" w:cs="Arial"/>
          <w:sz w:val="20"/>
          <w:szCs w:val="20"/>
          <w:lang w:val="en-GB"/>
        </w:rPr>
        <w:t>against</w:t>
      </w:r>
      <w:r w:rsidRPr="00097410">
        <w:rPr>
          <w:rFonts w:ascii="Arial" w:hAnsi="Arial" w:cs="Arial"/>
          <w:sz w:val="20"/>
          <w:szCs w:val="20"/>
          <w:lang w:val="en-GB"/>
        </w:rPr>
        <w:t xml:space="preserve"> legal proceedings. </w:t>
      </w:r>
    </w:p>
    <w:p w14:paraId="24991198" w14:textId="77777777" w:rsidR="00144377" w:rsidRPr="00097410" w:rsidRDefault="00144377" w:rsidP="00144377">
      <w:pPr>
        <w:pStyle w:val="Encabezamiento"/>
        <w:ind w:left="0"/>
        <w:jc w:val="both"/>
        <w:rPr>
          <w:rFonts w:ascii="Arial" w:hAnsi="Arial" w:cs="Arial"/>
          <w:b/>
          <w:sz w:val="20"/>
          <w:szCs w:val="20"/>
          <w:lang w:val="en-GB"/>
        </w:rPr>
      </w:pPr>
    </w:p>
    <w:p w14:paraId="72877695" w14:textId="1B8A52D9" w:rsidR="003E2A3A" w:rsidRPr="00097410" w:rsidRDefault="00BE3525"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Confidentiality</w:t>
      </w:r>
      <w:r w:rsidRPr="00097410">
        <w:rPr>
          <w:rFonts w:ascii="Arial" w:hAnsi="Arial" w:cs="Arial"/>
          <w:sz w:val="20"/>
          <w:szCs w:val="20"/>
          <w:lang w:val="en-GB"/>
        </w:rPr>
        <w:t xml:space="preserve"> of the identity of the whistleblower should be guaranteed and allowing anonymous disclosures should be considered. </w:t>
      </w:r>
      <w:r w:rsidR="009C4827" w:rsidRPr="00097410">
        <w:rPr>
          <w:rFonts w:ascii="Arial" w:hAnsi="Arial" w:cs="Arial"/>
          <w:sz w:val="20"/>
          <w:szCs w:val="20"/>
          <w:lang w:val="en-GB"/>
        </w:rPr>
        <w:t>Confidentiality should apply not only to the name of the whistleblower, but also to “identifying information”.</w:t>
      </w:r>
      <w:r w:rsidR="009C4827" w:rsidRPr="00097410">
        <w:rPr>
          <w:rFonts w:ascii="Arial" w:eastAsiaTheme="minorHAnsi" w:hAnsi="Arial" w:cs="Arial"/>
          <w:color w:val="auto"/>
          <w:sz w:val="19"/>
          <w:szCs w:val="19"/>
          <w:bdr w:val="none" w:sz="0" w:space="0" w:color="auto"/>
          <w:lang w:val="en-GB"/>
        </w:rPr>
        <w:t xml:space="preserve"> </w:t>
      </w:r>
    </w:p>
    <w:p w14:paraId="2CB91199" w14:textId="77777777" w:rsidR="00144377" w:rsidRPr="00097410" w:rsidRDefault="00144377" w:rsidP="00144377">
      <w:pPr>
        <w:pStyle w:val="Encabezamiento"/>
        <w:ind w:left="0"/>
        <w:jc w:val="both"/>
        <w:rPr>
          <w:rFonts w:ascii="Arial" w:hAnsi="Arial" w:cs="Arial"/>
          <w:b/>
          <w:sz w:val="20"/>
          <w:szCs w:val="20"/>
          <w:lang w:val="en-GB"/>
        </w:rPr>
      </w:pPr>
    </w:p>
    <w:p w14:paraId="2D772E2E" w14:textId="1F44C7FE" w:rsidR="00BE3525" w:rsidRPr="00097410" w:rsidRDefault="00BE3525"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Penalties</w:t>
      </w:r>
      <w:r w:rsidRPr="00097410">
        <w:rPr>
          <w:rFonts w:ascii="Arial" w:hAnsi="Arial" w:cs="Arial"/>
          <w:sz w:val="20"/>
          <w:szCs w:val="20"/>
          <w:lang w:val="en-GB"/>
        </w:rPr>
        <w:t xml:space="preserve"> should apply to persons who attempt to</w:t>
      </w:r>
      <w:r w:rsidR="00DC3742" w:rsidRPr="00097410">
        <w:rPr>
          <w:rFonts w:ascii="Arial" w:hAnsi="Arial" w:cs="Arial"/>
          <w:sz w:val="20"/>
          <w:szCs w:val="20"/>
          <w:lang w:val="en-GB"/>
        </w:rPr>
        <w:t xml:space="preserve"> identify a whistleblower,</w:t>
      </w:r>
      <w:r w:rsidRPr="00097410">
        <w:rPr>
          <w:rFonts w:ascii="Arial" w:hAnsi="Arial" w:cs="Arial"/>
          <w:sz w:val="20"/>
          <w:szCs w:val="20"/>
          <w:lang w:val="en-GB"/>
        </w:rPr>
        <w:t xml:space="preserve"> hinder reporting or retaliate against whistleblowers.</w:t>
      </w:r>
    </w:p>
    <w:p w14:paraId="32B89978" w14:textId="77777777" w:rsidR="00144377" w:rsidRPr="00097410" w:rsidRDefault="00144377" w:rsidP="00144377">
      <w:pPr>
        <w:pStyle w:val="Encabezamiento"/>
        <w:ind w:left="0"/>
        <w:jc w:val="both"/>
        <w:rPr>
          <w:rFonts w:ascii="Arial" w:hAnsi="Arial" w:cs="Arial"/>
          <w:b/>
          <w:bCs/>
          <w:sz w:val="20"/>
          <w:szCs w:val="20"/>
          <w:lang w:val="en-GB"/>
        </w:rPr>
      </w:pPr>
    </w:p>
    <w:p w14:paraId="6F7EBF69" w14:textId="52E4E882" w:rsidR="00D95C62"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Disclosure Procedures</w:t>
      </w:r>
      <w:r w:rsidRPr="00097410">
        <w:rPr>
          <w:rFonts w:ascii="Arial" w:hAnsi="Arial" w:cs="Arial"/>
          <w:sz w:val="20"/>
          <w:szCs w:val="20"/>
          <w:lang w:val="en-GB"/>
        </w:rPr>
        <w:t xml:space="preserve">: Multiple avenues for making a </w:t>
      </w:r>
      <w:r w:rsidR="00DE47FB" w:rsidRPr="00097410">
        <w:rPr>
          <w:rFonts w:ascii="Arial" w:hAnsi="Arial" w:cs="Arial"/>
          <w:sz w:val="20"/>
          <w:szCs w:val="20"/>
          <w:lang w:val="en-GB"/>
        </w:rPr>
        <w:t xml:space="preserve">disclosure should be provided. </w:t>
      </w:r>
    </w:p>
    <w:p w14:paraId="15495E23" w14:textId="6E95031E" w:rsidR="00D95C62" w:rsidRPr="00097410" w:rsidRDefault="00DE47FB"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W</w:t>
      </w:r>
      <w:r w:rsidR="00BE3525" w:rsidRPr="00097410">
        <w:rPr>
          <w:rFonts w:ascii="Arial" w:hAnsi="Arial" w:cs="Arial"/>
          <w:sz w:val="20"/>
          <w:szCs w:val="20"/>
          <w:lang w:val="en-GB"/>
        </w:rPr>
        <w:t xml:space="preserve">histleblowers should be able to make reports internally to their organisation or directly to the competent authorities. </w:t>
      </w:r>
      <w:r w:rsidR="00D95C62" w:rsidRPr="00097410">
        <w:rPr>
          <w:rFonts w:ascii="Arial" w:hAnsi="Arial" w:cs="Arial"/>
          <w:sz w:val="20"/>
          <w:szCs w:val="20"/>
          <w:lang w:val="en-GB"/>
        </w:rPr>
        <w:t xml:space="preserve">There should be no restrictions or extra burden on whistleblowers who wish to report directly to regulators and the authorities. </w:t>
      </w:r>
    </w:p>
    <w:p w14:paraId="62EF953C" w14:textId="77777777" w:rsidR="00D95C62" w:rsidRPr="00097410" w:rsidRDefault="00BE3525"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 xml:space="preserve">Disclosure to the public, in certain circumstances, should be allowed. </w:t>
      </w:r>
    </w:p>
    <w:p w14:paraId="6E4E6684" w14:textId="2CAC7056" w:rsidR="00D95C62" w:rsidRPr="00097410" w:rsidRDefault="009A6A80"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 xml:space="preserve">There should be avenues for whistleblowers to make disclosures involving </w:t>
      </w:r>
      <w:r w:rsidR="00CD69F9" w:rsidRPr="00097410">
        <w:rPr>
          <w:rFonts w:ascii="Arial" w:hAnsi="Arial" w:cs="Arial"/>
          <w:sz w:val="20"/>
          <w:szCs w:val="20"/>
          <w:lang w:val="en-GB"/>
        </w:rPr>
        <w:t>matters of national security and</w:t>
      </w:r>
      <w:r w:rsidRPr="00097410">
        <w:rPr>
          <w:rFonts w:ascii="Arial" w:hAnsi="Arial" w:cs="Arial"/>
          <w:sz w:val="20"/>
          <w:szCs w:val="20"/>
          <w:lang w:val="en-GB"/>
        </w:rPr>
        <w:t xml:space="preserve"> official secrets, including though an independent oversight body. Matters falling within that category should be narrowly and clearly defined</w:t>
      </w:r>
      <w:r w:rsidR="004132B7" w:rsidRPr="00097410">
        <w:rPr>
          <w:rFonts w:ascii="Arial" w:hAnsi="Arial" w:cs="Arial"/>
          <w:sz w:val="20"/>
          <w:szCs w:val="20"/>
          <w:lang w:val="en-GB"/>
        </w:rPr>
        <w:t>. Special rules should apply only in view of the category of information being disclosed, without considerations to the person making the disclosure.</w:t>
      </w:r>
    </w:p>
    <w:p w14:paraId="69739AB1" w14:textId="27883EA8" w:rsidR="00D95C62" w:rsidRPr="00097410" w:rsidRDefault="00BE3525"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 xml:space="preserve">It should be mandatory for a wide range of public and private sector organisations to set up internal whistleblowing mechanisms and have procedures to protect whistleblowers. </w:t>
      </w:r>
    </w:p>
    <w:p w14:paraId="30D86A68" w14:textId="09587FF0" w:rsidR="00244AFA" w:rsidRPr="00097410" w:rsidRDefault="00DE13FC"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Reporting channels should be</w:t>
      </w:r>
      <w:r w:rsidR="00244AFA" w:rsidRPr="00097410">
        <w:rPr>
          <w:rFonts w:ascii="Arial" w:hAnsi="Arial" w:cs="Arial"/>
          <w:sz w:val="20"/>
          <w:szCs w:val="20"/>
          <w:lang w:val="en-GB"/>
        </w:rPr>
        <w:t xml:space="preserve"> gender sensitive to provide men and women access to safe whistleblowing mechanism. In the design of the reporting mechanisms, target audiences should be consulted in order to develop appropriate culturally-sensitive and context-specific responses that identify and address the various barriers to reporting.</w:t>
      </w:r>
    </w:p>
    <w:p w14:paraId="2A802137" w14:textId="77777777" w:rsidR="00144377" w:rsidRPr="00097410" w:rsidRDefault="00144377" w:rsidP="00144377">
      <w:pPr>
        <w:pStyle w:val="Encabezamiento"/>
        <w:ind w:left="0"/>
        <w:jc w:val="both"/>
        <w:rPr>
          <w:rFonts w:ascii="Arial" w:hAnsi="Arial" w:cs="Arial"/>
          <w:b/>
          <w:sz w:val="20"/>
          <w:szCs w:val="20"/>
          <w:lang w:val="en-GB"/>
        </w:rPr>
      </w:pPr>
    </w:p>
    <w:p w14:paraId="50336DF5" w14:textId="415D11C9" w:rsidR="00BE3525" w:rsidRPr="00097410" w:rsidRDefault="009A6A80"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Follow-up</w:t>
      </w:r>
      <w:r w:rsidRPr="00097410">
        <w:rPr>
          <w:rFonts w:ascii="Arial" w:hAnsi="Arial" w:cs="Arial"/>
          <w:sz w:val="20"/>
          <w:szCs w:val="20"/>
          <w:lang w:val="en-GB"/>
        </w:rPr>
        <w:t xml:space="preserve">: </w:t>
      </w:r>
      <w:r w:rsidR="00D95C62" w:rsidRPr="00097410">
        <w:rPr>
          <w:rFonts w:ascii="Arial" w:hAnsi="Arial" w:cs="Arial"/>
          <w:sz w:val="20"/>
          <w:szCs w:val="20"/>
          <w:lang w:val="en-GB"/>
        </w:rPr>
        <w:t>T</w:t>
      </w:r>
      <w:r w:rsidR="00BE3525" w:rsidRPr="00097410">
        <w:rPr>
          <w:rFonts w:ascii="Arial" w:hAnsi="Arial" w:cs="Arial"/>
          <w:sz w:val="20"/>
          <w:szCs w:val="20"/>
          <w:lang w:val="en-GB"/>
        </w:rPr>
        <w:t>here should be</w:t>
      </w:r>
      <w:r w:rsidR="00BE3525" w:rsidRPr="00097410">
        <w:rPr>
          <w:rFonts w:ascii="Arial" w:hAnsi="Arial" w:cs="Arial"/>
          <w:b/>
          <w:bCs/>
          <w:sz w:val="20"/>
          <w:szCs w:val="20"/>
          <w:lang w:val="en-GB"/>
        </w:rPr>
        <w:t xml:space="preserve"> </w:t>
      </w:r>
      <w:r w:rsidR="00BE3525" w:rsidRPr="00097410">
        <w:rPr>
          <w:rFonts w:ascii="Arial" w:hAnsi="Arial" w:cs="Arial"/>
          <w:sz w:val="20"/>
          <w:szCs w:val="20"/>
          <w:lang w:val="en-GB"/>
        </w:rPr>
        <w:t>an obligation to follow up on reports and to keep the whistleblower informed, within a reasonable timeframe.</w:t>
      </w:r>
    </w:p>
    <w:p w14:paraId="2833D99A" w14:textId="77777777" w:rsidR="00144377" w:rsidRPr="00097410" w:rsidRDefault="00144377" w:rsidP="00144377">
      <w:pPr>
        <w:pStyle w:val="Encabezamiento"/>
        <w:ind w:left="0"/>
        <w:jc w:val="both"/>
        <w:rPr>
          <w:rFonts w:ascii="Arial" w:hAnsi="Arial" w:cs="Arial"/>
          <w:b/>
          <w:bCs/>
          <w:sz w:val="20"/>
          <w:szCs w:val="20"/>
          <w:lang w:val="en-GB"/>
        </w:rPr>
      </w:pPr>
    </w:p>
    <w:p w14:paraId="56B05EE5" w14:textId="66E942D6" w:rsidR="009B0E37"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Relief</w:t>
      </w:r>
      <w:r w:rsidRPr="00097410">
        <w:rPr>
          <w:rFonts w:ascii="Arial" w:hAnsi="Arial" w:cs="Arial"/>
          <w:sz w:val="20"/>
          <w:szCs w:val="20"/>
          <w:lang w:val="en-GB"/>
        </w:rPr>
        <w:t>: A full range of remedies, financial and others, covering all direct, indirect, past and future consequences of unfair treatment should be provided</w:t>
      </w:r>
      <w:r w:rsidR="009B0E37" w:rsidRPr="00097410">
        <w:rPr>
          <w:rFonts w:ascii="Arial" w:hAnsi="Arial" w:cs="Arial"/>
          <w:sz w:val="20"/>
          <w:szCs w:val="20"/>
          <w:lang w:val="en-GB"/>
        </w:rPr>
        <w:t>, including interim relief.</w:t>
      </w:r>
      <w:r w:rsidRPr="00097410">
        <w:rPr>
          <w:rFonts w:ascii="Arial" w:hAnsi="Arial" w:cs="Arial"/>
          <w:sz w:val="20"/>
          <w:szCs w:val="20"/>
          <w:lang w:val="en-GB"/>
        </w:rPr>
        <w:t xml:space="preserve"> </w:t>
      </w:r>
      <w:r w:rsidR="002E3291" w:rsidRPr="00097410">
        <w:rPr>
          <w:rFonts w:ascii="Arial" w:hAnsi="Arial" w:cs="Arial"/>
          <w:sz w:val="20"/>
          <w:szCs w:val="20"/>
          <w:lang w:val="en-GB"/>
        </w:rPr>
        <w:t xml:space="preserve">Where possible, the whistleblower should be restored to a situation that would have been his/hers had he or she not suffered unfair treatment. </w:t>
      </w:r>
    </w:p>
    <w:p w14:paraId="1DB60C2C" w14:textId="77777777" w:rsidR="00144377" w:rsidRPr="00097410" w:rsidRDefault="00144377" w:rsidP="00144377">
      <w:pPr>
        <w:pStyle w:val="Encabezamiento"/>
        <w:ind w:left="0"/>
        <w:jc w:val="both"/>
        <w:rPr>
          <w:rFonts w:ascii="Arial" w:hAnsi="Arial" w:cs="Arial"/>
          <w:sz w:val="20"/>
          <w:szCs w:val="20"/>
          <w:lang w:val="en-GB"/>
        </w:rPr>
      </w:pPr>
    </w:p>
    <w:p w14:paraId="6785E2A1" w14:textId="77777777" w:rsidR="009B0E37" w:rsidRPr="00097410" w:rsidRDefault="00BE3525" w:rsidP="00144377">
      <w:pPr>
        <w:pStyle w:val="Encabezamiento"/>
        <w:ind w:left="0"/>
        <w:jc w:val="both"/>
        <w:rPr>
          <w:rFonts w:ascii="Arial" w:hAnsi="Arial" w:cs="Arial"/>
          <w:sz w:val="20"/>
          <w:szCs w:val="20"/>
          <w:lang w:val="en-GB"/>
        </w:rPr>
      </w:pPr>
      <w:r w:rsidRPr="00097410">
        <w:rPr>
          <w:rFonts w:ascii="Arial" w:hAnsi="Arial" w:cs="Arial"/>
          <w:sz w:val="20"/>
          <w:szCs w:val="20"/>
          <w:lang w:val="en-GB"/>
        </w:rPr>
        <w:t xml:space="preserve">The </w:t>
      </w:r>
      <w:r w:rsidRPr="00097410">
        <w:rPr>
          <w:rFonts w:ascii="Arial" w:hAnsi="Arial" w:cs="Arial"/>
          <w:b/>
          <w:sz w:val="20"/>
          <w:szCs w:val="20"/>
          <w:lang w:val="en-GB"/>
        </w:rPr>
        <w:t>burden of the proof</w:t>
      </w:r>
      <w:r w:rsidRPr="00097410">
        <w:rPr>
          <w:rFonts w:ascii="Arial" w:hAnsi="Arial" w:cs="Arial"/>
          <w:sz w:val="20"/>
          <w:szCs w:val="20"/>
          <w:lang w:val="en-GB"/>
        </w:rPr>
        <w:t xml:space="preserve"> should be placed on the employer to establish that any detriment suffered by the whistleblower is not linked to his/her disclosure. </w:t>
      </w:r>
    </w:p>
    <w:p w14:paraId="5A0EB937" w14:textId="6BFDB432" w:rsidR="00BC183D" w:rsidRPr="00097410" w:rsidRDefault="009B0E37" w:rsidP="00144377">
      <w:pPr>
        <w:pStyle w:val="Encabezamiento"/>
        <w:ind w:left="0"/>
        <w:jc w:val="both"/>
        <w:rPr>
          <w:rFonts w:ascii="Arial" w:hAnsi="Arial" w:cs="Arial"/>
          <w:sz w:val="20"/>
          <w:szCs w:val="20"/>
          <w:lang w:val="en-GB"/>
        </w:rPr>
      </w:pPr>
      <w:r w:rsidRPr="00097410">
        <w:rPr>
          <w:rFonts w:ascii="Arial" w:hAnsi="Arial" w:cs="Arial"/>
          <w:sz w:val="20"/>
          <w:szCs w:val="20"/>
          <w:lang w:val="en-GB"/>
        </w:rPr>
        <w:t>Providing legal and financial assistance to whistleblowers should be consider.</w:t>
      </w:r>
    </w:p>
    <w:p w14:paraId="7EF6D58D" w14:textId="77777777" w:rsidR="00144377" w:rsidRPr="00097410" w:rsidRDefault="00144377" w:rsidP="00144377">
      <w:pPr>
        <w:pStyle w:val="Encabezamiento"/>
        <w:ind w:left="0"/>
        <w:jc w:val="both"/>
        <w:rPr>
          <w:rFonts w:ascii="Arial" w:hAnsi="Arial" w:cs="Arial"/>
          <w:sz w:val="20"/>
          <w:szCs w:val="20"/>
          <w:lang w:val="en-GB"/>
        </w:rPr>
      </w:pPr>
    </w:p>
    <w:p w14:paraId="3853CA5D" w14:textId="2F390BB2" w:rsidR="009B0E37"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Whistleblowing Authority</w:t>
      </w:r>
      <w:r w:rsidRPr="00097410">
        <w:rPr>
          <w:rFonts w:ascii="Arial" w:hAnsi="Arial" w:cs="Arial"/>
          <w:sz w:val="20"/>
          <w:szCs w:val="20"/>
          <w:lang w:val="en-GB"/>
        </w:rPr>
        <w:t xml:space="preserve">: </w:t>
      </w:r>
      <w:r w:rsidR="0056382C" w:rsidRPr="00097410">
        <w:rPr>
          <w:rFonts w:ascii="Arial" w:hAnsi="Arial" w:cs="Arial"/>
          <w:sz w:val="20"/>
          <w:szCs w:val="20"/>
          <w:lang w:val="en-GB"/>
        </w:rPr>
        <w:t xml:space="preserve">An independent agency should be responsible for the oversight and enforcement of whistleblowing legislation. </w:t>
      </w:r>
      <w:r w:rsidR="009B0E37" w:rsidRPr="00097410">
        <w:rPr>
          <w:rFonts w:ascii="Arial" w:hAnsi="Arial" w:cs="Arial"/>
          <w:sz w:val="20"/>
          <w:szCs w:val="20"/>
          <w:lang w:val="en-GB"/>
        </w:rPr>
        <w:t>It should</w:t>
      </w:r>
      <w:r w:rsidR="0056382C" w:rsidRPr="00097410">
        <w:rPr>
          <w:rFonts w:ascii="Arial" w:hAnsi="Arial" w:cs="Arial"/>
          <w:sz w:val="20"/>
          <w:szCs w:val="20"/>
          <w:lang w:val="en-GB"/>
        </w:rPr>
        <w:t xml:space="preserve"> have sufficient power and resources to operate effectively. </w:t>
      </w:r>
      <w:r w:rsidR="009B0E37" w:rsidRPr="00097410">
        <w:rPr>
          <w:rFonts w:ascii="Arial" w:hAnsi="Arial" w:cs="Arial"/>
          <w:sz w:val="20"/>
          <w:szCs w:val="20"/>
          <w:lang w:val="en-GB"/>
        </w:rPr>
        <w:t>It</w:t>
      </w:r>
      <w:r w:rsidR="0056382C" w:rsidRPr="00097410">
        <w:rPr>
          <w:rFonts w:ascii="Arial" w:hAnsi="Arial" w:cs="Arial"/>
          <w:sz w:val="20"/>
          <w:szCs w:val="20"/>
          <w:lang w:val="en-GB"/>
        </w:rPr>
        <w:t xml:space="preserve"> should</w:t>
      </w:r>
      <w:r w:rsidR="009B0E37" w:rsidRPr="00097410">
        <w:rPr>
          <w:rFonts w:ascii="Arial" w:hAnsi="Arial" w:cs="Arial"/>
          <w:sz w:val="20"/>
          <w:szCs w:val="20"/>
          <w:lang w:val="en-GB"/>
        </w:rPr>
        <w:t xml:space="preserve"> be competent to:</w:t>
      </w:r>
      <w:r w:rsidR="0056382C" w:rsidRPr="00097410">
        <w:rPr>
          <w:rFonts w:ascii="Arial" w:hAnsi="Arial" w:cs="Arial"/>
          <w:sz w:val="20"/>
          <w:szCs w:val="20"/>
          <w:lang w:val="en-GB"/>
        </w:rPr>
        <w:t xml:space="preserve"> </w:t>
      </w:r>
    </w:p>
    <w:p w14:paraId="35AAB873" w14:textId="2067A297" w:rsidR="009B0E37"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receive, investigate and address complaints of unfair treatments and improper investigations of whistleblower di</w:t>
      </w:r>
      <w:r w:rsidR="009B0E37" w:rsidRPr="00097410">
        <w:rPr>
          <w:rFonts w:ascii="Arial" w:hAnsi="Arial" w:cs="Arial"/>
          <w:sz w:val="20"/>
          <w:szCs w:val="20"/>
          <w:lang w:val="en-GB"/>
        </w:rPr>
        <w:t>sclosures</w:t>
      </w:r>
      <w:r w:rsidR="00BB4956" w:rsidRPr="00097410">
        <w:rPr>
          <w:rFonts w:ascii="Arial" w:hAnsi="Arial" w:cs="Arial"/>
          <w:sz w:val="20"/>
          <w:szCs w:val="20"/>
          <w:lang w:val="en-GB"/>
        </w:rPr>
        <w:t>,</w:t>
      </w:r>
    </w:p>
    <w:p w14:paraId="4ABE8937" w14:textId="42D5464F" w:rsidR="009B0E37"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provide advice and support</w:t>
      </w:r>
      <w:r w:rsidR="009B0E37" w:rsidRPr="00097410">
        <w:rPr>
          <w:rFonts w:ascii="Arial" w:hAnsi="Arial" w:cs="Arial"/>
          <w:sz w:val="20"/>
          <w:szCs w:val="20"/>
          <w:lang w:val="en-GB"/>
        </w:rPr>
        <w:t xml:space="preserve"> to whistleblowers</w:t>
      </w:r>
      <w:r w:rsidR="00BB4956" w:rsidRPr="00097410">
        <w:rPr>
          <w:rFonts w:ascii="Arial" w:hAnsi="Arial" w:cs="Arial"/>
          <w:sz w:val="20"/>
          <w:szCs w:val="20"/>
          <w:lang w:val="en-GB"/>
        </w:rPr>
        <w:t>,</w:t>
      </w:r>
    </w:p>
    <w:p w14:paraId="24BEF8CF" w14:textId="77777777" w:rsidR="009B0E37"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 xml:space="preserve">monitor and review whistleblower frameworks, collect and publish data and information regarding the functioning of whistleblowing laws and frameworks, </w:t>
      </w:r>
    </w:p>
    <w:p w14:paraId="0AB9C400" w14:textId="01E40538" w:rsidR="00BC183D"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 xml:space="preserve">raise public awareness to encourage the use of whistleblower provisions, and enhance cultural acceptance of whistleblowing. </w:t>
      </w:r>
    </w:p>
    <w:p w14:paraId="7C78E040" w14:textId="77777777" w:rsidR="00144377" w:rsidRPr="00097410" w:rsidRDefault="00144377" w:rsidP="00144377">
      <w:pPr>
        <w:pStyle w:val="Encabezamiento"/>
        <w:ind w:left="0"/>
        <w:jc w:val="both"/>
        <w:rPr>
          <w:rFonts w:ascii="Arial" w:hAnsi="Arial" w:cs="Arial"/>
          <w:b/>
          <w:bCs/>
          <w:sz w:val="20"/>
          <w:szCs w:val="20"/>
          <w:lang w:val="en-GB"/>
        </w:rPr>
      </w:pPr>
    </w:p>
    <w:p w14:paraId="03187070" w14:textId="170A2D4F" w:rsidR="00DE47FB" w:rsidRPr="00097410" w:rsidRDefault="00DE47FB" w:rsidP="00144377">
      <w:pPr>
        <w:pStyle w:val="Encabezamiento"/>
        <w:ind w:left="0"/>
        <w:jc w:val="both"/>
        <w:rPr>
          <w:rFonts w:ascii="Arial" w:hAnsi="Arial" w:cs="Arial"/>
          <w:sz w:val="20"/>
          <w:szCs w:val="20"/>
          <w:highlight w:val="yellow"/>
          <w:lang w:val="en-GB"/>
        </w:rPr>
      </w:pPr>
      <w:r w:rsidRPr="00097410">
        <w:rPr>
          <w:rFonts w:ascii="Arial" w:hAnsi="Arial" w:cs="Arial"/>
          <w:b/>
          <w:bCs/>
          <w:sz w:val="20"/>
          <w:szCs w:val="20"/>
          <w:lang w:val="en-GB"/>
        </w:rPr>
        <w:t>Stakeholder</w:t>
      </w:r>
      <w:r w:rsidR="00B60C53" w:rsidRPr="00097410">
        <w:rPr>
          <w:rFonts w:ascii="Arial" w:hAnsi="Arial" w:cs="Arial"/>
          <w:b/>
          <w:bCs/>
          <w:sz w:val="20"/>
          <w:szCs w:val="20"/>
          <w:lang w:val="en-GB"/>
        </w:rPr>
        <w:t>s</w:t>
      </w:r>
      <w:r w:rsidRPr="00097410">
        <w:rPr>
          <w:rFonts w:ascii="Arial" w:hAnsi="Arial" w:cs="Arial"/>
          <w:b/>
          <w:bCs/>
          <w:sz w:val="20"/>
          <w:szCs w:val="20"/>
          <w:lang w:val="en-GB"/>
        </w:rPr>
        <w:t xml:space="preserve"> involvement</w:t>
      </w:r>
      <w:r w:rsidR="00B25C29" w:rsidRPr="00097410">
        <w:rPr>
          <w:rFonts w:ascii="Arial" w:hAnsi="Arial" w:cs="Arial"/>
          <w:b/>
          <w:bCs/>
          <w:sz w:val="20"/>
          <w:szCs w:val="20"/>
          <w:lang w:val="en-GB"/>
        </w:rPr>
        <w:t xml:space="preserve">: </w:t>
      </w:r>
      <w:r w:rsidR="00B25C29" w:rsidRPr="00097410">
        <w:rPr>
          <w:rFonts w:ascii="Arial" w:hAnsi="Arial" w:cs="Arial"/>
          <w:bCs/>
          <w:sz w:val="20"/>
          <w:szCs w:val="20"/>
          <w:lang w:val="en-GB"/>
        </w:rPr>
        <w:t>the design and periodic review of whistleblowing laws, regulations and procedures must involve key stakeholders including employee organisations, business/employer associations, civil society organisations and academia.</w:t>
      </w:r>
    </w:p>
    <w:p w14:paraId="7DFE45EE" w14:textId="1ECDA63C" w:rsidR="00321924" w:rsidRPr="00097410" w:rsidRDefault="00321924" w:rsidP="00DE13FC">
      <w:pPr>
        <w:pStyle w:val="Encabezamiento"/>
        <w:jc w:val="both"/>
        <w:rPr>
          <w:rFonts w:ascii="Arial" w:hAnsi="Arial" w:cs="Arial"/>
          <w:b/>
          <w:bCs/>
          <w:sz w:val="20"/>
          <w:szCs w:val="20"/>
          <w:highlight w:val="yellow"/>
          <w:lang w:val="en-GB"/>
        </w:rPr>
      </w:pPr>
    </w:p>
    <w:p w14:paraId="7F2D7636" w14:textId="2B19D036" w:rsidR="00646D49" w:rsidRPr="00097410" w:rsidRDefault="00646D49" w:rsidP="00DE13FC">
      <w:pPr>
        <w:pStyle w:val="Encabezamiento"/>
        <w:ind w:left="0"/>
        <w:jc w:val="both"/>
        <w:rPr>
          <w:rStyle w:val="Ninguno"/>
          <w:rFonts w:ascii="Arial" w:hAnsi="Arial" w:cs="Arial"/>
          <w:color w:val="009FED"/>
          <w:sz w:val="20"/>
          <w:szCs w:val="20"/>
          <w:u w:color="009FED"/>
          <w:lang w:val="en-GB"/>
        </w:rPr>
      </w:pPr>
    </w:p>
    <w:p w14:paraId="1281DEBE" w14:textId="422546CC" w:rsidR="003B2487" w:rsidRPr="00097410" w:rsidRDefault="006662C3" w:rsidP="00DE13FC">
      <w:pPr>
        <w:pStyle w:val="Encabezamiento"/>
        <w:ind w:left="0"/>
        <w:jc w:val="both"/>
        <w:rPr>
          <w:rStyle w:val="Ninguno"/>
          <w:color w:val="009FED"/>
          <w:sz w:val="30"/>
          <w:szCs w:val="30"/>
          <w:u w:color="009FED"/>
          <w:lang w:val="en-GB"/>
        </w:rPr>
      </w:pPr>
      <w:r w:rsidRPr="00097410">
        <w:rPr>
          <w:rStyle w:val="Ninguno"/>
          <w:color w:val="009FED"/>
          <w:sz w:val="28"/>
          <w:szCs w:val="28"/>
          <w:u w:color="009FED"/>
          <w:lang w:val="en-GB"/>
        </w:rPr>
        <w:t xml:space="preserve">SUPPORTING INFORMATION </w:t>
      </w:r>
    </w:p>
    <w:p w14:paraId="1B4AD44D" w14:textId="77777777" w:rsidR="00BE3525" w:rsidRPr="00097410" w:rsidRDefault="00BE3525" w:rsidP="00DE13FC">
      <w:pPr>
        <w:pStyle w:val="Encabezamiento"/>
        <w:ind w:left="0"/>
        <w:jc w:val="both"/>
        <w:rPr>
          <w:rStyle w:val="Ninguno"/>
          <w:rFonts w:ascii="Arial" w:hAnsi="Arial" w:cs="Arial"/>
          <w:sz w:val="18"/>
          <w:szCs w:val="18"/>
          <w:lang w:val="en-GB"/>
        </w:rPr>
      </w:pPr>
    </w:p>
    <w:p w14:paraId="322FDA0E" w14:textId="6D5C7D1B" w:rsidR="00334045" w:rsidRPr="00097410" w:rsidRDefault="00BE3525" w:rsidP="00DE13FC">
      <w:pPr>
        <w:pStyle w:val="Encabezamiento"/>
        <w:ind w:left="0"/>
        <w:jc w:val="both"/>
        <w:rPr>
          <w:rStyle w:val="Ninguno"/>
          <w:rFonts w:ascii="Arial" w:hAnsi="Arial" w:cs="Arial"/>
          <w:sz w:val="20"/>
          <w:szCs w:val="20"/>
          <w:u w:color="009FED"/>
          <w:lang w:val="en-GB"/>
        </w:rPr>
      </w:pPr>
      <w:r w:rsidRPr="00097410">
        <w:rPr>
          <w:rStyle w:val="Ninguno"/>
          <w:rFonts w:ascii="Arial" w:hAnsi="Arial" w:cs="Arial"/>
          <w:sz w:val="20"/>
          <w:szCs w:val="20"/>
          <w:u w:color="009FED"/>
          <w:lang w:val="en-GB"/>
        </w:rPr>
        <w:t xml:space="preserve">Transparency International, A best Practice Guide for </w:t>
      </w:r>
      <w:r w:rsidR="00146322">
        <w:rPr>
          <w:rStyle w:val="Ninguno"/>
          <w:rFonts w:ascii="Arial" w:hAnsi="Arial" w:cs="Arial"/>
          <w:sz w:val="20"/>
          <w:szCs w:val="20"/>
          <w:u w:color="009FED"/>
          <w:lang w:val="en-GB"/>
        </w:rPr>
        <w:t>Whistleblowing Legislation (</w:t>
      </w:r>
      <w:r w:rsidR="00334045" w:rsidRPr="00097410">
        <w:rPr>
          <w:rStyle w:val="Ninguno"/>
          <w:rFonts w:ascii="Arial" w:hAnsi="Arial" w:cs="Arial"/>
          <w:sz w:val="20"/>
          <w:szCs w:val="20"/>
          <w:u w:color="009FED"/>
          <w:lang w:val="en-GB"/>
        </w:rPr>
        <w:t>2018</w:t>
      </w:r>
      <w:r w:rsidR="00146322">
        <w:rPr>
          <w:rStyle w:val="Ninguno"/>
          <w:rFonts w:ascii="Arial" w:hAnsi="Arial" w:cs="Arial"/>
          <w:sz w:val="20"/>
          <w:szCs w:val="20"/>
          <w:u w:color="009FED"/>
          <w:lang w:val="en-GB"/>
        </w:rPr>
        <w:t>)</w:t>
      </w:r>
      <w:r w:rsidR="00334045" w:rsidRPr="00097410">
        <w:rPr>
          <w:rStyle w:val="Ninguno"/>
          <w:rFonts w:ascii="Arial" w:hAnsi="Arial" w:cs="Arial"/>
          <w:sz w:val="20"/>
          <w:szCs w:val="20"/>
          <w:u w:color="009FED"/>
          <w:lang w:val="en-GB"/>
        </w:rPr>
        <w:t>,</w:t>
      </w:r>
    </w:p>
    <w:p w14:paraId="70CD1B42" w14:textId="77777777" w:rsidR="00334045" w:rsidRPr="00097410" w:rsidRDefault="00334045" w:rsidP="00DE13FC">
      <w:pPr>
        <w:pStyle w:val="HyperlinkTI"/>
        <w:rPr>
          <w:rStyle w:val="Hyperlink"/>
          <w:rFonts w:eastAsia="Arial"/>
          <w:b/>
          <w:bCs/>
          <w:szCs w:val="20"/>
          <w:u w:val="none"/>
        </w:rPr>
      </w:pPr>
      <w:r w:rsidRPr="00097410">
        <w:rPr>
          <w:rStyle w:val="Ninguno"/>
          <w:sz w:val="20"/>
          <w:szCs w:val="20"/>
          <w:lang w:val="en-GB"/>
        </w:rPr>
        <w:fldChar w:fldCharType="begin"/>
      </w:r>
      <w:r w:rsidRPr="00097410">
        <w:rPr>
          <w:rStyle w:val="Ninguno"/>
          <w:sz w:val="20"/>
          <w:szCs w:val="20"/>
          <w:lang w:val="en-GB"/>
        </w:rPr>
        <w:instrText xml:space="preserve"> HYPERLINK "http://www.transparency.org/whatwedo/publication/best_practice_guide_for_whistleblowing_legislation" </w:instrText>
      </w:r>
      <w:r w:rsidRPr="00097410">
        <w:rPr>
          <w:rStyle w:val="Ninguno"/>
          <w:sz w:val="20"/>
          <w:szCs w:val="20"/>
          <w:lang w:val="en-GB"/>
        </w:rPr>
        <w:fldChar w:fldCharType="separate"/>
      </w:r>
      <w:r w:rsidRPr="00097410">
        <w:rPr>
          <w:rStyle w:val="Hyperlink"/>
          <w:szCs w:val="20"/>
          <w:u w:val="none"/>
        </w:rPr>
        <w:t xml:space="preserve">www.transparency.org/whatwedo/publication/best_practice_guide_for_whistleblowing_legislation </w:t>
      </w:r>
    </w:p>
    <w:p w14:paraId="079B9A75" w14:textId="2492FB20" w:rsidR="00334045" w:rsidRPr="00097410" w:rsidRDefault="00334045" w:rsidP="00DE13FC">
      <w:pPr>
        <w:pStyle w:val="HyperlinkTI"/>
        <w:rPr>
          <w:rStyle w:val="Ninguno"/>
          <w:sz w:val="20"/>
          <w:szCs w:val="20"/>
          <w:lang w:val="en-GB"/>
        </w:rPr>
      </w:pPr>
      <w:r w:rsidRPr="00097410">
        <w:rPr>
          <w:rStyle w:val="Ninguno"/>
          <w:sz w:val="20"/>
          <w:szCs w:val="20"/>
          <w:lang w:val="en-GB"/>
        </w:rPr>
        <w:fldChar w:fldCharType="end"/>
      </w:r>
    </w:p>
    <w:p w14:paraId="4A2977AC" w14:textId="047B027F" w:rsidR="003B2487" w:rsidRDefault="00BE3525" w:rsidP="00DE13FC">
      <w:pPr>
        <w:pStyle w:val="Encabezamiento"/>
        <w:ind w:left="0"/>
        <w:jc w:val="both"/>
        <w:rPr>
          <w:rStyle w:val="Hyperlink"/>
          <w:rFonts w:cs="Arial"/>
          <w:szCs w:val="20"/>
          <w:u w:val="none"/>
          <w:lang w:val="en-GB"/>
        </w:rPr>
      </w:pPr>
      <w:r w:rsidRPr="00097410">
        <w:rPr>
          <w:rStyle w:val="Ninguno"/>
          <w:rFonts w:ascii="Arial" w:hAnsi="Arial" w:cs="Arial"/>
          <w:sz w:val="20"/>
          <w:szCs w:val="20"/>
          <w:lang w:val="en-GB"/>
        </w:rPr>
        <w:t xml:space="preserve">Transparency International, International Principles for Whistleblowing </w:t>
      </w:r>
      <w:r w:rsidR="00146322">
        <w:rPr>
          <w:rStyle w:val="Ninguno"/>
          <w:rFonts w:ascii="Arial" w:hAnsi="Arial" w:cs="Arial"/>
          <w:sz w:val="20"/>
          <w:szCs w:val="20"/>
          <w:lang w:val="en-GB"/>
        </w:rPr>
        <w:t>Legislation</w:t>
      </w:r>
      <w:r w:rsidR="00334045" w:rsidRPr="00097410">
        <w:rPr>
          <w:rStyle w:val="Ninguno"/>
          <w:rFonts w:ascii="Arial" w:hAnsi="Arial" w:cs="Arial"/>
          <w:sz w:val="20"/>
          <w:szCs w:val="20"/>
          <w:lang w:val="en-GB"/>
        </w:rPr>
        <w:t xml:space="preserve"> </w:t>
      </w:r>
      <w:r w:rsidR="00146322">
        <w:rPr>
          <w:rStyle w:val="Ninguno"/>
          <w:rFonts w:ascii="Arial" w:hAnsi="Arial" w:cs="Arial"/>
          <w:sz w:val="20"/>
          <w:szCs w:val="20"/>
          <w:lang w:val="en-GB"/>
        </w:rPr>
        <w:t>(</w:t>
      </w:r>
      <w:r w:rsidR="00334045" w:rsidRPr="00097410">
        <w:rPr>
          <w:rStyle w:val="Ninguno"/>
          <w:rFonts w:ascii="Arial" w:hAnsi="Arial" w:cs="Arial"/>
          <w:sz w:val="20"/>
          <w:szCs w:val="20"/>
          <w:lang w:val="en-GB"/>
        </w:rPr>
        <w:t>2013</w:t>
      </w:r>
      <w:r w:rsidR="00146322">
        <w:rPr>
          <w:rStyle w:val="Ninguno"/>
          <w:rFonts w:ascii="Arial" w:hAnsi="Arial" w:cs="Arial"/>
          <w:sz w:val="20"/>
          <w:szCs w:val="20"/>
          <w:lang w:val="en-GB"/>
        </w:rPr>
        <w:t>)</w:t>
      </w:r>
      <w:hyperlink w:history="1">
        <w:r w:rsidR="00920A61" w:rsidRPr="00097410">
          <w:rPr>
            <w:rStyle w:val="Hyperlink"/>
            <w:rFonts w:cs="Arial"/>
            <w:szCs w:val="20"/>
            <w:u w:val="none"/>
            <w:lang w:val="en-GB"/>
          </w:rPr>
          <w:t>, www.transparency.org/whatwedo/publication/international_principles_for_whistleblower_legislation</w:t>
        </w:r>
      </w:hyperlink>
    </w:p>
    <w:p w14:paraId="5EE8ADA6" w14:textId="1F5AB0D1" w:rsidR="00146322" w:rsidRDefault="00146322" w:rsidP="00DE13FC">
      <w:pPr>
        <w:pStyle w:val="Encabezamiento"/>
        <w:ind w:left="0"/>
        <w:jc w:val="both"/>
        <w:rPr>
          <w:rStyle w:val="Hyperlink"/>
          <w:rFonts w:cs="Arial"/>
          <w:szCs w:val="20"/>
          <w:u w:val="none"/>
          <w:lang w:val="en-GB"/>
        </w:rPr>
      </w:pPr>
    </w:p>
    <w:p w14:paraId="691B32A0" w14:textId="159C6742" w:rsidR="00146322" w:rsidRPr="00146322" w:rsidRDefault="00146322" w:rsidP="00146322">
      <w:pPr>
        <w:pStyle w:val="FootnoteText"/>
        <w:rPr>
          <w:color w:val="auto"/>
        </w:rPr>
      </w:pPr>
      <w:r w:rsidRPr="00146322">
        <w:rPr>
          <w:color w:val="auto"/>
        </w:rPr>
        <w:t>Transparency International, Whistleblower protection and the UN</w:t>
      </w:r>
      <w:r>
        <w:rPr>
          <w:color w:val="auto"/>
        </w:rPr>
        <w:t xml:space="preserve"> </w:t>
      </w:r>
      <w:r w:rsidRPr="00146322">
        <w:rPr>
          <w:color w:val="auto"/>
        </w:rPr>
        <w:t>C</w:t>
      </w:r>
      <w:r>
        <w:rPr>
          <w:color w:val="auto"/>
        </w:rPr>
        <w:t xml:space="preserve">onvention against </w:t>
      </w:r>
      <w:r w:rsidRPr="00146322">
        <w:rPr>
          <w:color w:val="auto"/>
        </w:rPr>
        <w:t>C</w:t>
      </w:r>
      <w:r>
        <w:rPr>
          <w:color w:val="auto"/>
        </w:rPr>
        <w:t>orruption</w:t>
      </w:r>
      <w:r w:rsidRPr="00146322">
        <w:rPr>
          <w:color w:val="auto"/>
        </w:rPr>
        <w:t xml:space="preserve"> (2013),  </w:t>
      </w:r>
      <w:hyperlink r:id="rId9" w:history="1">
        <w:r w:rsidRPr="00853808">
          <w:rPr>
            <w:rStyle w:val="Hyperlink"/>
            <w:u w:val="none"/>
          </w:rPr>
          <w:t>www.transparency.org/whatwedo/publication/whistleblower_protection_and_the_un_convention_against_corruption</w:t>
        </w:r>
      </w:hyperlink>
    </w:p>
    <w:p w14:paraId="753E10E6" w14:textId="72803824" w:rsidR="00146322" w:rsidRDefault="00146322" w:rsidP="00DE13FC">
      <w:pPr>
        <w:pStyle w:val="Encabezamiento"/>
        <w:ind w:left="0"/>
        <w:jc w:val="both"/>
        <w:rPr>
          <w:rFonts w:ascii="Arial" w:hAnsi="Arial" w:cs="Arial"/>
          <w:color w:val="auto"/>
          <w:sz w:val="20"/>
          <w:szCs w:val="20"/>
          <w:lang w:val="en-US"/>
        </w:rPr>
      </w:pPr>
    </w:p>
    <w:p w14:paraId="0260BFB8" w14:textId="77777777" w:rsidR="00FA3874" w:rsidRDefault="00FA3874" w:rsidP="00FA3874">
      <w:pPr>
        <w:pStyle w:val="Encabezamiento"/>
        <w:ind w:left="0"/>
        <w:jc w:val="right"/>
        <w:rPr>
          <w:rFonts w:ascii="Arial" w:hAnsi="Arial" w:cs="Arial"/>
          <w:color w:val="auto"/>
          <w:sz w:val="20"/>
          <w:szCs w:val="20"/>
          <w:lang w:val="en-US"/>
        </w:rPr>
      </w:pPr>
    </w:p>
    <w:p w14:paraId="3BF6B770" w14:textId="2B9B5D8D" w:rsidR="00FA3874" w:rsidRPr="00146322" w:rsidRDefault="00FA3874" w:rsidP="00FA3874">
      <w:pPr>
        <w:pStyle w:val="Encabezamiento"/>
        <w:ind w:left="0"/>
        <w:jc w:val="right"/>
        <w:rPr>
          <w:rFonts w:ascii="Arial" w:hAnsi="Arial" w:cs="Arial"/>
          <w:color w:val="auto"/>
          <w:sz w:val="20"/>
          <w:szCs w:val="20"/>
          <w:lang w:val="en-US"/>
        </w:rPr>
      </w:pPr>
      <w:bookmarkStart w:id="0" w:name="_GoBack"/>
      <w:bookmarkEnd w:id="0"/>
      <w:r>
        <w:rPr>
          <w:rFonts w:ascii="Arial" w:hAnsi="Arial" w:cs="Arial"/>
          <w:color w:val="auto"/>
          <w:sz w:val="20"/>
          <w:szCs w:val="20"/>
          <w:lang w:val="en-US"/>
        </w:rPr>
        <w:t>23.8.19</w:t>
      </w:r>
    </w:p>
    <w:sectPr w:rsidR="00FA3874" w:rsidRPr="00146322" w:rsidSect="00DE13FC">
      <w:headerReference w:type="default" r:id="rId10"/>
      <w:pgSz w:w="11900" w:h="16860"/>
      <w:pgMar w:top="1440" w:right="1440" w:bottom="1440" w:left="1440" w:header="48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EE48" w14:textId="77777777" w:rsidR="001234B3" w:rsidRDefault="001234B3">
      <w:r>
        <w:separator/>
      </w:r>
    </w:p>
  </w:endnote>
  <w:endnote w:type="continuationSeparator" w:id="0">
    <w:p w14:paraId="74EC979E" w14:textId="77777777" w:rsidR="001234B3" w:rsidRDefault="0012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4B75" w14:textId="77777777" w:rsidR="001234B3" w:rsidRDefault="001234B3">
      <w:r>
        <w:separator/>
      </w:r>
    </w:p>
  </w:footnote>
  <w:footnote w:type="continuationSeparator" w:id="0">
    <w:p w14:paraId="4E8DAC55" w14:textId="77777777" w:rsidR="001234B3" w:rsidRDefault="001234B3">
      <w:r>
        <w:continuationSeparator/>
      </w:r>
    </w:p>
  </w:footnote>
  <w:footnote w:type="continuationNotice" w:id="1">
    <w:p w14:paraId="5A1AE110" w14:textId="77777777" w:rsidR="001234B3" w:rsidRDefault="001234B3"/>
  </w:footnote>
  <w:footnote w:id="2">
    <w:p w14:paraId="200C4E94" w14:textId="5BAF003D" w:rsidR="00C615C1" w:rsidRPr="009531B5" w:rsidRDefault="00C615C1" w:rsidP="00C615C1">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00E5577A" w:rsidRPr="009531B5">
        <w:rPr>
          <w:color w:val="535353" w:themeColor="background2"/>
          <w:sz w:val="16"/>
          <w:szCs w:val="16"/>
          <w:lang w:val="en-GB"/>
        </w:rPr>
        <w:t>UN</w:t>
      </w:r>
      <w:r w:rsidRPr="009531B5">
        <w:rPr>
          <w:color w:val="535353" w:themeColor="background2"/>
          <w:sz w:val="16"/>
          <w:szCs w:val="16"/>
          <w:lang w:val="en-GB"/>
        </w:rPr>
        <w:t xml:space="preserve"> Convention against </w:t>
      </w:r>
      <w:r w:rsidR="00E5577A" w:rsidRPr="009531B5">
        <w:rPr>
          <w:color w:val="535353" w:themeColor="background2"/>
          <w:sz w:val="16"/>
          <w:szCs w:val="16"/>
          <w:lang w:val="en-GB"/>
        </w:rPr>
        <w:t>Corruption,</w:t>
      </w:r>
      <w:r w:rsidRPr="009531B5">
        <w:rPr>
          <w:color w:val="535353" w:themeColor="background2"/>
          <w:sz w:val="16"/>
          <w:szCs w:val="16"/>
          <w:lang w:val="en-GB"/>
        </w:rPr>
        <w:t xml:space="preserve"> Council of Europe Civil and Crimina</w:t>
      </w:r>
      <w:r w:rsidR="00B4630F" w:rsidRPr="009531B5">
        <w:rPr>
          <w:color w:val="535353" w:themeColor="background2"/>
          <w:sz w:val="16"/>
          <w:szCs w:val="16"/>
          <w:lang w:val="en-GB"/>
        </w:rPr>
        <w:t xml:space="preserve">l Law Conventions on Corruption, </w:t>
      </w:r>
      <w:r w:rsidRPr="009531B5">
        <w:rPr>
          <w:color w:val="535353" w:themeColor="background2"/>
          <w:sz w:val="16"/>
          <w:szCs w:val="16"/>
          <w:lang w:val="en-GB"/>
        </w:rPr>
        <w:t>Inter-American Convention against Corruption</w:t>
      </w:r>
      <w:r w:rsidR="00E5577A" w:rsidRPr="009531B5">
        <w:rPr>
          <w:color w:val="535353" w:themeColor="background2"/>
          <w:sz w:val="16"/>
          <w:szCs w:val="16"/>
          <w:lang w:val="en-GB"/>
        </w:rPr>
        <w:t xml:space="preserve">, </w:t>
      </w:r>
      <w:r w:rsidRPr="009531B5">
        <w:rPr>
          <w:color w:val="535353" w:themeColor="background2"/>
          <w:sz w:val="16"/>
          <w:szCs w:val="16"/>
          <w:lang w:val="en-GB"/>
        </w:rPr>
        <w:t>African Union Convention on Preventing and C</w:t>
      </w:r>
      <w:r w:rsidR="00B4630F" w:rsidRPr="009531B5">
        <w:rPr>
          <w:color w:val="535353" w:themeColor="background2"/>
          <w:sz w:val="16"/>
          <w:szCs w:val="16"/>
          <w:lang w:val="en-GB"/>
        </w:rPr>
        <w:t xml:space="preserve">ombating Corruption </w:t>
      </w:r>
      <w:r w:rsidR="00E5577A" w:rsidRPr="009531B5">
        <w:rPr>
          <w:color w:val="535353" w:themeColor="background2"/>
          <w:sz w:val="16"/>
          <w:szCs w:val="16"/>
          <w:lang w:val="en-GB"/>
        </w:rPr>
        <w:t xml:space="preserve">and </w:t>
      </w:r>
      <w:r w:rsidRPr="009531B5">
        <w:rPr>
          <w:color w:val="535353" w:themeColor="background2"/>
          <w:sz w:val="16"/>
          <w:szCs w:val="16"/>
          <w:lang w:val="en-GB"/>
        </w:rPr>
        <w:t>Arab Convention to Fight Corruption</w:t>
      </w:r>
      <w:r w:rsidR="00B4630F" w:rsidRPr="009531B5">
        <w:rPr>
          <w:color w:val="535353" w:themeColor="background2"/>
          <w:sz w:val="16"/>
          <w:szCs w:val="16"/>
          <w:lang w:val="en-GB"/>
        </w:rPr>
        <w:t>.</w:t>
      </w:r>
    </w:p>
  </w:footnote>
  <w:footnote w:id="3">
    <w:p w14:paraId="0F7E7B72" w14:textId="4BA2CB1B" w:rsidR="00144377" w:rsidRPr="009531B5" w:rsidRDefault="00144377" w:rsidP="00144377">
      <w:pPr>
        <w:pStyle w:val="Defaul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They also include three other articles in Chapter III, namely Article 32 on protection of witnesses, experts and victims; Article 37 on measures to encourage reporting by persons implicated; and Article 39(2) on encouraging reporting to law-enforcement authorities. </w:t>
      </w:r>
    </w:p>
  </w:footnote>
  <w:footnote w:id="4">
    <w:p w14:paraId="23F25A3B" w14:textId="7E2FC541" w:rsidR="006A3BFB" w:rsidRPr="009531B5" w:rsidRDefault="006A3BFB" w:rsidP="006A3BFB">
      <w:pPr>
        <w:pStyle w:val="FootnoteText"/>
        <w:rPr>
          <w:color w:val="535353" w:themeColor="background2"/>
          <w:sz w:val="16"/>
          <w:szCs w:val="16"/>
          <w:highlight w:val="yellow"/>
          <w:lang w:val="en-GB"/>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Pr="009531B5">
        <w:rPr>
          <w:color w:val="535353" w:themeColor="background2"/>
          <w:sz w:val="16"/>
          <w:szCs w:val="16"/>
          <w:lang w:val="en-GB"/>
        </w:rPr>
        <w:t xml:space="preserve">UNODC, </w:t>
      </w:r>
      <w:r w:rsidRPr="009531B5">
        <w:rPr>
          <w:i/>
          <w:iCs/>
          <w:color w:val="535353" w:themeColor="background2"/>
          <w:sz w:val="16"/>
          <w:szCs w:val="16"/>
          <w:lang w:val="en-GB"/>
        </w:rPr>
        <w:t xml:space="preserve">Resource Guide on Good Practice in the Protection of </w:t>
      </w:r>
      <w:r w:rsidRPr="00445170">
        <w:rPr>
          <w:i/>
          <w:iCs/>
          <w:color w:val="535353" w:themeColor="background2"/>
          <w:sz w:val="16"/>
          <w:szCs w:val="16"/>
          <w:lang w:val="en-GB"/>
        </w:rPr>
        <w:t xml:space="preserve">Reporting Persons </w:t>
      </w:r>
      <w:r w:rsidRPr="00445170">
        <w:rPr>
          <w:color w:val="535353" w:themeColor="background2"/>
          <w:sz w:val="16"/>
          <w:szCs w:val="16"/>
          <w:lang w:val="en-GB"/>
        </w:rPr>
        <w:t xml:space="preserve">(2015); Council of Europe, </w:t>
      </w:r>
      <w:r w:rsidRPr="00445170">
        <w:rPr>
          <w:i/>
          <w:iCs/>
          <w:color w:val="535353" w:themeColor="background2"/>
          <w:sz w:val="16"/>
          <w:szCs w:val="16"/>
          <w:lang w:val="en-GB"/>
        </w:rPr>
        <w:t>Protection of Whistleblowers, Recommendation CM/</w:t>
      </w:r>
      <w:proofErr w:type="gramStart"/>
      <w:r w:rsidRPr="00445170">
        <w:rPr>
          <w:i/>
          <w:iCs/>
          <w:color w:val="535353" w:themeColor="background2"/>
          <w:sz w:val="16"/>
          <w:szCs w:val="16"/>
          <w:lang w:val="en-GB"/>
        </w:rPr>
        <w:t>Rec(</w:t>
      </w:r>
      <w:proofErr w:type="gramEnd"/>
      <w:r w:rsidRPr="00445170">
        <w:rPr>
          <w:i/>
          <w:iCs/>
          <w:color w:val="535353" w:themeColor="background2"/>
          <w:sz w:val="16"/>
          <w:szCs w:val="16"/>
          <w:lang w:val="en-GB"/>
        </w:rPr>
        <w:t xml:space="preserve">2014)7 </w:t>
      </w:r>
      <w:r w:rsidRPr="00445170">
        <w:rPr>
          <w:i/>
          <w:color w:val="535353" w:themeColor="background2"/>
          <w:sz w:val="16"/>
          <w:szCs w:val="16"/>
          <w:lang w:val="en-GB"/>
        </w:rPr>
        <w:t>and</w:t>
      </w:r>
      <w:r w:rsidRPr="00445170">
        <w:rPr>
          <w:color w:val="535353" w:themeColor="background2"/>
          <w:sz w:val="16"/>
          <w:szCs w:val="16"/>
          <w:lang w:val="en-GB"/>
        </w:rPr>
        <w:t xml:space="preserve"> </w:t>
      </w:r>
      <w:r w:rsidRPr="00445170">
        <w:rPr>
          <w:i/>
          <w:iCs/>
          <w:color w:val="535353" w:themeColor="background2"/>
          <w:sz w:val="16"/>
          <w:szCs w:val="16"/>
          <w:lang w:val="en-GB"/>
        </w:rPr>
        <w:t xml:space="preserve">Explanatory Memorandum </w:t>
      </w:r>
      <w:r w:rsidRPr="00445170">
        <w:rPr>
          <w:color w:val="535353" w:themeColor="background2"/>
          <w:sz w:val="16"/>
          <w:szCs w:val="16"/>
          <w:lang w:val="en-GB"/>
        </w:rPr>
        <w:t xml:space="preserve">(2014); OAS, </w:t>
      </w:r>
      <w:r w:rsidRPr="00445170">
        <w:rPr>
          <w:color w:val="535353" w:themeColor="background2"/>
          <w:sz w:val="16"/>
          <w:szCs w:val="16"/>
        </w:rPr>
        <w:t>Draft Model Law to Facilitate and Encourage the Reporting of Acts of Corruption and to Protect Whistleblowers and Witnesses (2013</w:t>
      </w:r>
      <w:r w:rsidRPr="009531B5">
        <w:rPr>
          <w:color w:val="535353" w:themeColor="background2"/>
          <w:sz w:val="16"/>
          <w:szCs w:val="16"/>
        </w:rPr>
        <w:t>)</w:t>
      </w:r>
      <w:r w:rsidR="00445170">
        <w:rPr>
          <w:color w:val="535353" w:themeColor="background2"/>
          <w:sz w:val="16"/>
          <w:szCs w:val="16"/>
        </w:rPr>
        <w:t>.</w:t>
      </w:r>
    </w:p>
  </w:footnote>
  <w:footnote w:id="5">
    <w:p w14:paraId="7A035DC1" w14:textId="23C8CE89" w:rsidR="00585611" w:rsidRPr="009531B5" w:rsidRDefault="00585611" w:rsidP="00585611">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Pr="009531B5">
        <w:rPr>
          <w:rFonts w:cstheme="minorHAnsi"/>
          <w:color w:val="535353" w:themeColor="background2"/>
          <w:sz w:val="16"/>
          <w:szCs w:val="16"/>
        </w:rPr>
        <w:t xml:space="preserve">UNODC, </w:t>
      </w:r>
      <w:r w:rsidRPr="00445170">
        <w:rPr>
          <w:rFonts w:cstheme="minorHAnsi"/>
          <w:i/>
          <w:color w:val="535353" w:themeColor="background2"/>
          <w:sz w:val="16"/>
          <w:szCs w:val="16"/>
        </w:rPr>
        <w:t>State of Implementation of the United Nations Convention against Corruption: Criminalization, Law Enforcement and I</w:t>
      </w:r>
      <w:r w:rsidR="00EC32C8" w:rsidRPr="00445170">
        <w:rPr>
          <w:rFonts w:cstheme="minorHAnsi"/>
          <w:i/>
          <w:color w:val="535353" w:themeColor="background2"/>
          <w:sz w:val="16"/>
          <w:szCs w:val="16"/>
        </w:rPr>
        <w:t>nternational Cooperation</w:t>
      </w:r>
      <w:r w:rsidR="00445170">
        <w:rPr>
          <w:rFonts w:cstheme="minorHAnsi"/>
          <w:i/>
          <w:color w:val="535353" w:themeColor="background2"/>
          <w:sz w:val="16"/>
          <w:szCs w:val="16"/>
        </w:rPr>
        <w:t>, 2</w:t>
      </w:r>
      <w:r w:rsidR="00445170" w:rsidRPr="00445170">
        <w:rPr>
          <w:rFonts w:cstheme="minorHAnsi"/>
          <w:i/>
          <w:color w:val="535353" w:themeColor="background2"/>
          <w:sz w:val="16"/>
          <w:szCs w:val="16"/>
          <w:vertAlign w:val="superscript"/>
        </w:rPr>
        <w:t>nd</w:t>
      </w:r>
      <w:r w:rsidR="00445170">
        <w:rPr>
          <w:rFonts w:cstheme="minorHAnsi"/>
          <w:i/>
          <w:color w:val="535353" w:themeColor="background2"/>
          <w:sz w:val="16"/>
          <w:szCs w:val="16"/>
        </w:rPr>
        <w:t xml:space="preserve"> edition</w:t>
      </w:r>
      <w:r w:rsidR="00EC32C8" w:rsidRPr="009531B5">
        <w:rPr>
          <w:rFonts w:cstheme="minorHAnsi"/>
          <w:color w:val="535353" w:themeColor="background2"/>
          <w:sz w:val="16"/>
          <w:szCs w:val="16"/>
        </w:rPr>
        <w:t xml:space="preserve"> (2017), p. 152.</w:t>
      </w:r>
    </w:p>
  </w:footnote>
  <w:footnote w:id="6">
    <w:p w14:paraId="328C772F" w14:textId="03F3FB0A" w:rsidR="00EC32C8" w:rsidRPr="009531B5" w:rsidRDefault="00EC32C8">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UNODC, 2017, p.152.</w:t>
      </w:r>
    </w:p>
  </w:footnote>
  <w:footnote w:id="7">
    <w:p w14:paraId="0DCC8D92" w14:textId="2CC6BB69" w:rsidR="00065D85" w:rsidRPr="009531B5" w:rsidRDefault="00065D85">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See suggested questions to assess national whistleblower frameworks in </w:t>
      </w:r>
      <w:r w:rsidR="00853808">
        <w:rPr>
          <w:color w:val="535353" w:themeColor="background2"/>
          <w:sz w:val="16"/>
          <w:szCs w:val="16"/>
        </w:rPr>
        <w:t>TI</w:t>
      </w:r>
      <w:r w:rsidRPr="009531B5">
        <w:rPr>
          <w:color w:val="535353" w:themeColor="background2"/>
          <w:sz w:val="16"/>
          <w:szCs w:val="16"/>
        </w:rPr>
        <w:t xml:space="preserve">, </w:t>
      </w:r>
      <w:r w:rsidRPr="00853808">
        <w:rPr>
          <w:i/>
          <w:color w:val="535353" w:themeColor="background2"/>
          <w:sz w:val="16"/>
          <w:szCs w:val="16"/>
        </w:rPr>
        <w:t>Whistleblower protection and the UNCAC</w:t>
      </w:r>
      <w:r w:rsidRPr="009531B5">
        <w:rPr>
          <w:color w:val="535353" w:themeColor="background2"/>
          <w:sz w:val="16"/>
          <w:szCs w:val="16"/>
        </w:rPr>
        <w:t xml:space="preserve"> (2013), p. 4.</w:t>
      </w:r>
    </w:p>
  </w:footnote>
  <w:footnote w:id="8">
    <w:p w14:paraId="5873157F" w14:textId="4CC561DD" w:rsidR="009531B5" w:rsidRPr="009531B5" w:rsidRDefault="009531B5">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00853808">
        <w:rPr>
          <w:color w:val="535353" w:themeColor="background2"/>
          <w:sz w:val="16"/>
          <w:szCs w:val="16"/>
          <w:lang w:val="en-GB"/>
        </w:rPr>
        <w:t>TI</w:t>
      </w:r>
      <w:r w:rsidRPr="009531B5">
        <w:rPr>
          <w:color w:val="535353" w:themeColor="background2"/>
          <w:sz w:val="16"/>
          <w:szCs w:val="16"/>
          <w:lang w:val="en-GB"/>
        </w:rPr>
        <w:t xml:space="preserve">, </w:t>
      </w:r>
      <w:r w:rsidRPr="009531B5">
        <w:rPr>
          <w:i/>
          <w:iCs/>
          <w:color w:val="535353" w:themeColor="background2"/>
          <w:sz w:val="16"/>
          <w:szCs w:val="16"/>
          <w:lang w:val="en-GB"/>
        </w:rPr>
        <w:t xml:space="preserve">The Business Case for “Speaking Up”: How Internal Reporting Mechanisms Strengthen Private-Sector Organisations </w:t>
      </w:r>
      <w:r w:rsidRPr="009531B5">
        <w:rPr>
          <w:color w:val="535353" w:themeColor="background2"/>
          <w:sz w:val="16"/>
          <w:szCs w:val="16"/>
          <w:lang w:val="en-GB"/>
        </w:rPr>
        <w:t>(2017), www.transparency.org/whatwedo/publication/business_case_for_speaking_up.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B3E9" w14:textId="0D140CA7" w:rsidR="00DC24FF" w:rsidRDefault="00DC24F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38"/>
    <w:multiLevelType w:val="hybridMultilevel"/>
    <w:tmpl w:val="0644CB68"/>
    <w:styleLink w:val="Estiloimportado2"/>
    <w:lvl w:ilvl="0" w:tplc="D556E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ED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8A7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D4E7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9208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6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52BD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E7F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E6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793830"/>
    <w:multiLevelType w:val="hybridMultilevel"/>
    <w:tmpl w:val="9F20356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597683F"/>
    <w:multiLevelType w:val="hybridMultilevel"/>
    <w:tmpl w:val="F3803170"/>
    <w:numStyleLink w:val="Estiloimportado3"/>
  </w:abstractNum>
  <w:abstractNum w:abstractNumId="3" w15:restartNumberingAfterBreak="0">
    <w:nsid w:val="16560C32"/>
    <w:multiLevelType w:val="hybridMultilevel"/>
    <w:tmpl w:val="3664ED5A"/>
    <w:styleLink w:val="Estiloimportado4"/>
    <w:lvl w:ilvl="0" w:tplc="50E00FD4">
      <w:start w:val="1"/>
      <w:numFmt w:val="bullet"/>
      <w:lvlText w:val="o"/>
      <w:lvlJc w:val="left"/>
      <w:pPr>
        <w:ind w:left="1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77022238">
      <w:start w:val="1"/>
      <w:numFmt w:val="bullet"/>
      <w:lvlText w:val="o"/>
      <w:lvlJc w:val="left"/>
      <w:pPr>
        <w:ind w:left="23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B38B146">
      <w:start w:val="1"/>
      <w:numFmt w:val="bullet"/>
      <w:lvlText w:val="▪"/>
      <w:lvlJc w:val="left"/>
      <w:pPr>
        <w:ind w:left="30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0E9A56">
      <w:start w:val="1"/>
      <w:numFmt w:val="bullet"/>
      <w:lvlText w:val="•"/>
      <w:lvlJc w:val="left"/>
      <w:pPr>
        <w:ind w:left="3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7964182">
      <w:start w:val="1"/>
      <w:numFmt w:val="bullet"/>
      <w:lvlText w:val="o"/>
      <w:lvlJc w:val="left"/>
      <w:pPr>
        <w:ind w:left="44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403CB0">
      <w:start w:val="1"/>
      <w:numFmt w:val="bullet"/>
      <w:lvlText w:val="▪"/>
      <w:lvlJc w:val="left"/>
      <w:pPr>
        <w:ind w:left="51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05A1C76">
      <w:start w:val="1"/>
      <w:numFmt w:val="bullet"/>
      <w:lvlText w:val="•"/>
      <w:lvlJc w:val="left"/>
      <w:pPr>
        <w:ind w:left="5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DA6BF62">
      <w:start w:val="1"/>
      <w:numFmt w:val="bullet"/>
      <w:lvlText w:val="o"/>
      <w:lvlJc w:val="left"/>
      <w:pPr>
        <w:ind w:left="66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309406">
      <w:start w:val="1"/>
      <w:numFmt w:val="bullet"/>
      <w:lvlText w:val="▪"/>
      <w:lvlJc w:val="left"/>
      <w:pPr>
        <w:ind w:left="73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4D17AD"/>
    <w:multiLevelType w:val="hybridMultilevel"/>
    <w:tmpl w:val="CDC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F7E5E"/>
    <w:multiLevelType w:val="hybridMultilevel"/>
    <w:tmpl w:val="51A6B45A"/>
    <w:styleLink w:val="Estiloimportado5"/>
    <w:lvl w:ilvl="0" w:tplc="610685F6">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000AA">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0DEDA">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EEC984">
      <w:start w:val="1"/>
      <w:numFmt w:val="bullet"/>
      <w:lvlText w:val="·"/>
      <w:lvlJc w:val="left"/>
      <w:pPr>
        <w:ind w:left="286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4E7500">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84347A">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0FDC6">
      <w:start w:val="1"/>
      <w:numFmt w:val="bullet"/>
      <w:lvlText w:val="·"/>
      <w:lvlJc w:val="left"/>
      <w:pPr>
        <w:ind w:left="50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5AD188">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040E8">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AB379F"/>
    <w:multiLevelType w:val="hybridMultilevel"/>
    <w:tmpl w:val="1388AD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2CEA4C5D"/>
    <w:multiLevelType w:val="hybridMultilevel"/>
    <w:tmpl w:val="F3803170"/>
    <w:numStyleLink w:val="Estiloimportado3"/>
  </w:abstractNum>
  <w:abstractNum w:abstractNumId="8" w15:restartNumberingAfterBreak="0">
    <w:nsid w:val="2E175484"/>
    <w:multiLevelType w:val="hybridMultilevel"/>
    <w:tmpl w:val="0644CB68"/>
    <w:numStyleLink w:val="Estiloimportado2"/>
  </w:abstractNum>
  <w:abstractNum w:abstractNumId="9" w15:restartNumberingAfterBreak="0">
    <w:nsid w:val="3464109A"/>
    <w:multiLevelType w:val="hybridMultilevel"/>
    <w:tmpl w:val="F08E32CE"/>
    <w:lvl w:ilvl="0" w:tplc="08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363729F8"/>
    <w:multiLevelType w:val="hybridMultilevel"/>
    <w:tmpl w:val="3664ED5A"/>
    <w:numStyleLink w:val="Estiloimportado4"/>
  </w:abstractNum>
  <w:abstractNum w:abstractNumId="11" w15:restartNumberingAfterBreak="0">
    <w:nsid w:val="3E7541C3"/>
    <w:multiLevelType w:val="hybridMultilevel"/>
    <w:tmpl w:val="33164840"/>
    <w:numStyleLink w:val="Estiloimportado1"/>
  </w:abstractNum>
  <w:abstractNum w:abstractNumId="12" w15:restartNumberingAfterBreak="0">
    <w:nsid w:val="40C03B98"/>
    <w:multiLevelType w:val="hybridMultilevel"/>
    <w:tmpl w:val="A7B08CFC"/>
    <w:numStyleLink w:val="Estiloimportado40"/>
  </w:abstractNum>
  <w:abstractNum w:abstractNumId="13" w15:restartNumberingAfterBreak="0">
    <w:nsid w:val="42E34025"/>
    <w:multiLevelType w:val="hybridMultilevel"/>
    <w:tmpl w:val="33164840"/>
    <w:styleLink w:val="Estiloimportado1"/>
    <w:lvl w:ilvl="0" w:tplc="4E48B94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20AE66">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CDB3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E487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D625C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2B48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686E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4AF20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C2D7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3940F4"/>
    <w:multiLevelType w:val="hybridMultilevel"/>
    <w:tmpl w:val="F3803170"/>
    <w:styleLink w:val="Estiloimportado3"/>
    <w:lvl w:ilvl="0" w:tplc="F3803170">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DCC2A43E">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8074E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C6D50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BEE31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4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6EFA9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1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3E1A4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4CD0A4">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6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EAFBA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3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4E5D72"/>
    <w:multiLevelType w:val="hybridMultilevel"/>
    <w:tmpl w:val="F3803170"/>
    <w:numStyleLink w:val="Estiloimportado3"/>
  </w:abstractNum>
  <w:abstractNum w:abstractNumId="16" w15:restartNumberingAfterBreak="0">
    <w:nsid w:val="5E6A5BE4"/>
    <w:multiLevelType w:val="hybridMultilevel"/>
    <w:tmpl w:val="F2B6D118"/>
    <w:lvl w:ilvl="0" w:tplc="72F82C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4276E"/>
    <w:multiLevelType w:val="hybridMultilevel"/>
    <w:tmpl w:val="A7B08CFC"/>
    <w:styleLink w:val="Estiloimportado40"/>
    <w:lvl w:ilvl="0" w:tplc="0E18105E">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68982">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4EC350">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4C3318">
      <w:start w:val="1"/>
      <w:numFmt w:val="bullet"/>
      <w:lvlText w:val="·"/>
      <w:lvlJc w:val="left"/>
      <w:pPr>
        <w:ind w:left="286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9497E6">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9EA8CC">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CAED2">
      <w:start w:val="1"/>
      <w:numFmt w:val="bullet"/>
      <w:lvlText w:val="·"/>
      <w:lvlJc w:val="left"/>
      <w:pPr>
        <w:ind w:left="50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C5BAA">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801A84">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A77ED7"/>
    <w:multiLevelType w:val="hybridMultilevel"/>
    <w:tmpl w:val="51A6B45A"/>
    <w:numStyleLink w:val="Estiloimportado5"/>
  </w:abstractNum>
  <w:abstractNum w:abstractNumId="19" w15:restartNumberingAfterBreak="0">
    <w:nsid w:val="67F15689"/>
    <w:multiLevelType w:val="hybridMultilevel"/>
    <w:tmpl w:val="2D10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F7018"/>
    <w:multiLevelType w:val="hybridMultilevel"/>
    <w:tmpl w:val="51C202EC"/>
    <w:lvl w:ilvl="0" w:tplc="72F82C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34C37"/>
    <w:multiLevelType w:val="hybridMultilevel"/>
    <w:tmpl w:val="6262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A2B46"/>
    <w:multiLevelType w:val="hybridMultilevel"/>
    <w:tmpl w:val="B248F8F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13"/>
  </w:num>
  <w:num w:numId="2">
    <w:abstractNumId w:val="11"/>
  </w:num>
  <w:num w:numId="3">
    <w:abstractNumId w:val="14"/>
  </w:num>
  <w:num w:numId="4">
    <w:abstractNumId w:val="2"/>
  </w:num>
  <w:num w:numId="5">
    <w:abstractNumId w:val="3"/>
  </w:num>
  <w:num w:numId="6">
    <w:abstractNumId w:val="10"/>
  </w:num>
  <w:num w:numId="7">
    <w:abstractNumId w:val="0"/>
  </w:num>
  <w:num w:numId="8">
    <w:abstractNumId w:val="8"/>
  </w:num>
  <w:num w:numId="9">
    <w:abstractNumId w:val="15"/>
  </w:num>
  <w:num w:numId="10">
    <w:abstractNumId w:val="17"/>
  </w:num>
  <w:num w:numId="11">
    <w:abstractNumId w:val="12"/>
  </w:num>
  <w:num w:numId="12">
    <w:abstractNumId w:val="5"/>
  </w:num>
  <w:num w:numId="13">
    <w:abstractNumId w:val="18"/>
  </w:num>
  <w:num w:numId="14">
    <w:abstractNumId w:val="6"/>
  </w:num>
  <w:num w:numId="15">
    <w:abstractNumId w:val="7"/>
  </w:num>
  <w:num w:numId="16">
    <w:abstractNumId w:val="1"/>
  </w:num>
  <w:num w:numId="17">
    <w:abstractNumId w:val="22"/>
  </w:num>
  <w:num w:numId="18">
    <w:abstractNumId w:val="9"/>
  </w:num>
  <w:num w:numId="19">
    <w:abstractNumId w:val="19"/>
  </w:num>
  <w:num w:numId="20">
    <w:abstractNumId w:val="4"/>
  </w:num>
  <w:num w:numId="21">
    <w:abstractNumId w:val="2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7"/>
    <w:rsid w:val="00065D85"/>
    <w:rsid w:val="0007004E"/>
    <w:rsid w:val="00074739"/>
    <w:rsid w:val="00097410"/>
    <w:rsid w:val="000C76D6"/>
    <w:rsid w:val="000D0BB6"/>
    <w:rsid w:val="00103407"/>
    <w:rsid w:val="001178FE"/>
    <w:rsid w:val="001234B3"/>
    <w:rsid w:val="00125EF6"/>
    <w:rsid w:val="0013577B"/>
    <w:rsid w:val="00144377"/>
    <w:rsid w:val="00146322"/>
    <w:rsid w:val="00181716"/>
    <w:rsid w:val="00192DF4"/>
    <w:rsid w:val="001C2E77"/>
    <w:rsid w:val="001C4691"/>
    <w:rsid w:val="001C598C"/>
    <w:rsid w:val="001E695E"/>
    <w:rsid w:val="00244AFA"/>
    <w:rsid w:val="00247CB4"/>
    <w:rsid w:val="00287A9F"/>
    <w:rsid w:val="00295651"/>
    <w:rsid w:val="002A3A6E"/>
    <w:rsid w:val="002B22DB"/>
    <w:rsid w:val="002C28EC"/>
    <w:rsid w:val="002E3291"/>
    <w:rsid w:val="00321924"/>
    <w:rsid w:val="00325211"/>
    <w:rsid w:val="00334045"/>
    <w:rsid w:val="003726FF"/>
    <w:rsid w:val="003B2487"/>
    <w:rsid w:val="003B44AB"/>
    <w:rsid w:val="003E2A3A"/>
    <w:rsid w:val="003F28D3"/>
    <w:rsid w:val="00407FA6"/>
    <w:rsid w:val="004132B7"/>
    <w:rsid w:val="00445170"/>
    <w:rsid w:val="004D1E73"/>
    <w:rsid w:val="004D7ADB"/>
    <w:rsid w:val="004F0188"/>
    <w:rsid w:val="005538DE"/>
    <w:rsid w:val="0056382C"/>
    <w:rsid w:val="00570FE0"/>
    <w:rsid w:val="00585611"/>
    <w:rsid w:val="005923F0"/>
    <w:rsid w:val="005E1AC1"/>
    <w:rsid w:val="00646D49"/>
    <w:rsid w:val="00655716"/>
    <w:rsid w:val="00663AA6"/>
    <w:rsid w:val="006662C3"/>
    <w:rsid w:val="00697EDD"/>
    <w:rsid w:val="006A3BFB"/>
    <w:rsid w:val="006B36A6"/>
    <w:rsid w:val="00795D3D"/>
    <w:rsid w:val="007A7310"/>
    <w:rsid w:val="007C58B0"/>
    <w:rsid w:val="00850F90"/>
    <w:rsid w:val="00853808"/>
    <w:rsid w:val="00855924"/>
    <w:rsid w:val="008B0273"/>
    <w:rsid w:val="008B1B76"/>
    <w:rsid w:val="008D6956"/>
    <w:rsid w:val="008E7E91"/>
    <w:rsid w:val="008F63AB"/>
    <w:rsid w:val="00910CF0"/>
    <w:rsid w:val="00917151"/>
    <w:rsid w:val="00920A61"/>
    <w:rsid w:val="009531B5"/>
    <w:rsid w:val="00974E7A"/>
    <w:rsid w:val="009A6A80"/>
    <w:rsid w:val="009B0E37"/>
    <w:rsid w:val="009C35D6"/>
    <w:rsid w:val="009C4827"/>
    <w:rsid w:val="009D4E84"/>
    <w:rsid w:val="009E0568"/>
    <w:rsid w:val="009F2508"/>
    <w:rsid w:val="00A02530"/>
    <w:rsid w:val="00A21707"/>
    <w:rsid w:val="00A55423"/>
    <w:rsid w:val="00A5767E"/>
    <w:rsid w:val="00A75F8A"/>
    <w:rsid w:val="00A904C2"/>
    <w:rsid w:val="00AF3726"/>
    <w:rsid w:val="00AF4639"/>
    <w:rsid w:val="00AF6677"/>
    <w:rsid w:val="00B25C29"/>
    <w:rsid w:val="00B4630F"/>
    <w:rsid w:val="00B60C53"/>
    <w:rsid w:val="00B63A3A"/>
    <w:rsid w:val="00B7262A"/>
    <w:rsid w:val="00BA7389"/>
    <w:rsid w:val="00BB4956"/>
    <w:rsid w:val="00BC183D"/>
    <w:rsid w:val="00BD7FEA"/>
    <w:rsid w:val="00BE3525"/>
    <w:rsid w:val="00BF5391"/>
    <w:rsid w:val="00C12F8F"/>
    <w:rsid w:val="00C13D42"/>
    <w:rsid w:val="00C615C1"/>
    <w:rsid w:val="00C668B4"/>
    <w:rsid w:val="00CB2506"/>
    <w:rsid w:val="00CD69F9"/>
    <w:rsid w:val="00CE1988"/>
    <w:rsid w:val="00CF3452"/>
    <w:rsid w:val="00CF5D25"/>
    <w:rsid w:val="00CF6669"/>
    <w:rsid w:val="00D178B1"/>
    <w:rsid w:val="00D4150F"/>
    <w:rsid w:val="00D8602E"/>
    <w:rsid w:val="00D95C62"/>
    <w:rsid w:val="00DA6E40"/>
    <w:rsid w:val="00DB187B"/>
    <w:rsid w:val="00DC24FF"/>
    <w:rsid w:val="00DC3742"/>
    <w:rsid w:val="00DE13FC"/>
    <w:rsid w:val="00DE47FB"/>
    <w:rsid w:val="00E16791"/>
    <w:rsid w:val="00E375DD"/>
    <w:rsid w:val="00E37896"/>
    <w:rsid w:val="00E43D48"/>
    <w:rsid w:val="00E5577A"/>
    <w:rsid w:val="00E77217"/>
    <w:rsid w:val="00E96076"/>
    <w:rsid w:val="00EA0B0E"/>
    <w:rsid w:val="00EC32C8"/>
    <w:rsid w:val="00EE09F9"/>
    <w:rsid w:val="00EF3DF4"/>
    <w:rsid w:val="00F871D4"/>
    <w:rsid w:val="00F95313"/>
    <w:rsid w:val="00FA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E001"/>
  <w15:docId w15:val="{31501FE0-2F05-4843-BBA4-2DB0F355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920A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D42"/>
    <w:rPr>
      <w:rFonts w:ascii="Arial" w:hAnsi="Arial"/>
      <w:color w:val="009CEE"/>
      <w:sz w:val="20"/>
      <w:u w:val="single"/>
    </w:rPr>
  </w:style>
  <w:style w:type="paragraph" w:styleId="BodyText">
    <w:name w:val="Body Text"/>
    <w:pPr>
      <w:widowControl w:val="0"/>
    </w:pPr>
    <w:rPr>
      <w:rFonts w:ascii="Arial" w:hAnsi="Arial" w:cs="Arial Unicode MS"/>
      <w:color w:val="000000"/>
      <w:sz w:val="19"/>
      <w:szCs w:val="19"/>
      <w:u w:color="000000"/>
    </w:rPr>
  </w:style>
  <w:style w:type="paragraph" w:customStyle="1" w:styleId="CuerpoA">
    <w:name w:val="Cuerpo A"/>
    <w:pPr>
      <w:widowControl w:val="0"/>
    </w:pPr>
    <w:rPr>
      <w:rFonts w:ascii="Arial" w:hAnsi="Arial" w:cs="Arial Unicode MS"/>
      <w:color w:val="000000"/>
      <w:sz w:val="22"/>
      <w:szCs w:val="22"/>
      <w:u w:color="000000"/>
    </w:rPr>
  </w:style>
  <w:style w:type="character" w:customStyle="1" w:styleId="Ninguno">
    <w:name w:val="Ninguno"/>
    <w:rPr>
      <w:lang w:val="en-US"/>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Encabezamiento">
    <w:name w:val="Encabezamiento"/>
    <w:link w:val="EncabezamientoChar"/>
    <w:pPr>
      <w:widowControl w:val="0"/>
      <w:ind w:left="140"/>
      <w:outlineLvl w:val="0"/>
    </w:pPr>
    <w:rPr>
      <w:rFonts w:ascii="Arial Narrow" w:hAnsi="Arial Narrow" w:cs="Arial Unicode MS"/>
      <w:color w:val="000000"/>
      <w:sz w:val="36"/>
      <w:szCs w:val="36"/>
      <w:u w:color="000000"/>
      <w:lang w:val="de-DE"/>
    </w:rPr>
  </w:style>
  <w:style w:type="paragraph" w:styleId="FootnoteText">
    <w:name w:val="footnote text"/>
    <w:pPr>
      <w:widowControl w:val="0"/>
    </w:pPr>
    <w:rPr>
      <w:rFonts w:ascii="Arial" w:eastAsia="Arial" w:hAnsi="Arial" w:cs="Arial"/>
      <w:color w:val="000000"/>
      <w:u w:color="000000"/>
    </w:rPr>
  </w:style>
  <w:style w:type="character" w:customStyle="1" w:styleId="Hyperlink0">
    <w:name w:val="Hyperlink.0"/>
    <w:basedOn w:val="Ninguno"/>
    <w:rPr>
      <w:color w:val="0000FF"/>
      <w:sz w:val="12"/>
      <w:szCs w:val="12"/>
      <w:u w:val="single" w:color="0000FF"/>
      <w:lang w:val="en-US"/>
    </w:rPr>
  </w:style>
  <w:style w:type="character" w:customStyle="1" w:styleId="Hyperlink1">
    <w:name w:val="Hyperlink.1"/>
    <w:basedOn w:val="Hyperlink"/>
    <w:rPr>
      <w:rFonts w:ascii="Arial" w:hAnsi="Arial"/>
      <w:color w:val="0000FF"/>
      <w:sz w:val="20"/>
      <w:u w:val="single" w:color="0000FF"/>
    </w:rPr>
  </w:style>
  <w:style w:type="character" w:customStyle="1" w:styleId="Hyperlink2">
    <w:name w:val="Hyperlink.2"/>
    <w:basedOn w:val="Ninguno"/>
    <w:rPr>
      <w:color w:val="0000FF"/>
      <w:sz w:val="20"/>
      <w:szCs w:val="20"/>
      <w:u w:val="single" w:color="0000FF"/>
      <w:lang w:val="en-US"/>
    </w:rPr>
  </w:style>
  <w:style w:type="numbering" w:customStyle="1" w:styleId="Estiloimportado1">
    <w:name w:val="Estilo importado 1"/>
    <w:pPr>
      <w:numPr>
        <w:numId w:val="1"/>
      </w:numPr>
    </w:pPr>
  </w:style>
  <w:style w:type="character" w:customStyle="1" w:styleId="NingunoA">
    <w:name w:val="Ninguno A"/>
    <w:basedOn w:val="Ninguno"/>
    <w:rPr>
      <w:lang w:val="en-US"/>
    </w:rPr>
  </w:style>
  <w:style w:type="paragraph" w:styleId="ListParagraph">
    <w:name w:val="List Paragraph"/>
    <w:pPr>
      <w:widowControl w:val="0"/>
      <w:ind w:left="860" w:hanging="360"/>
    </w:pPr>
    <w:rPr>
      <w:rFonts w:ascii="Arial" w:hAnsi="Arial" w:cs="Arial Unicode MS"/>
      <w:color w:val="000000"/>
      <w:sz w:val="22"/>
      <w:szCs w:val="22"/>
      <w:u w:color="000000"/>
    </w:rPr>
  </w:style>
  <w:style w:type="numbering" w:customStyle="1" w:styleId="Estiloimportado3">
    <w:name w:val="Estilo importado 3"/>
    <w:pPr>
      <w:numPr>
        <w:numId w:val="3"/>
      </w:numPr>
    </w:pPr>
  </w:style>
  <w:style w:type="character" w:styleId="FootnoteReference">
    <w:name w:val="footnote reference"/>
    <w:basedOn w:val="Ninguno"/>
    <w:rPr>
      <w:vertAlign w:val="superscript"/>
      <w:lang w:val="en-US"/>
    </w:rPr>
  </w:style>
  <w:style w:type="numbering" w:customStyle="1" w:styleId="Estiloimportado4">
    <w:name w:val="Estilo importado 4"/>
    <w:pPr>
      <w:numPr>
        <w:numId w:val="5"/>
      </w:numPr>
    </w:pPr>
  </w:style>
  <w:style w:type="character" w:customStyle="1" w:styleId="Hyperlink3">
    <w:name w:val="Hyperlink.3"/>
    <w:basedOn w:val="Ninguno"/>
    <w:rPr>
      <w:color w:val="0000FF"/>
      <w:sz w:val="16"/>
      <w:szCs w:val="16"/>
      <w:u w:val="single" w:color="0000FF"/>
      <w:lang w:val="en-US"/>
    </w:rPr>
  </w:style>
  <w:style w:type="character" w:customStyle="1" w:styleId="Hyperlink20">
    <w:name w:val="Hyperlink.2.0"/>
    <w:basedOn w:val="Ninguno"/>
    <w:rPr>
      <w:color w:val="0000FF"/>
      <w:sz w:val="16"/>
      <w:szCs w:val="16"/>
      <w:u w:val="single" w:color="0000FF"/>
      <w:lang w:val="en-US"/>
    </w:rPr>
  </w:style>
  <w:style w:type="character" w:customStyle="1" w:styleId="Hyperlink4">
    <w:name w:val="Hyperlink.4"/>
    <w:basedOn w:val="Ninguno"/>
    <w:rPr>
      <w:color w:val="0000FF"/>
      <w:sz w:val="16"/>
      <w:szCs w:val="16"/>
      <w:u w:val="none" w:color="0000FF"/>
      <w:lang w:val="en-US"/>
    </w:rPr>
  </w:style>
  <w:style w:type="paragraph" w:styleId="Header">
    <w:name w:val="header"/>
    <w:basedOn w:val="Normal"/>
    <w:link w:val="HeaderChar"/>
    <w:uiPriority w:val="99"/>
    <w:unhideWhenUsed/>
    <w:rsid w:val="00CF3452"/>
    <w:pPr>
      <w:tabs>
        <w:tab w:val="center" w:pos="4680"/>
        <w:tab w:val="right" w:pos="9360"/>
      </w:tabs>
    </w:pPr>
  </w:style>
  <w:style w:type="character" w:customStyle="1" w:styleId="HeaderChar">
    <w:name w:val="Header Char"/>
    <w:basedOn w:val="DefaultParagraphFont"/>
    <w:link w:val="Header"/>
    <w:uiPriority w:val="99"/>
    <w:rsid w:val="00CF3452"/>
    <w:rPr>
      <w:sz w:val="24"/>
      <w:szCs w:val="24"/>
    </w:rPr>
  </w:style>
  <w:style w:type="paragraph" w:styleId="Footer">
    <w:name w:val="footer"/>
    <w:basedOn w:val="Normal"/>
    <w:link w:val="FooterChar"/>
    <w:uiPriority w:val="99"/>
    <w:unhideWhenUsed/>
    <w:rsid w:val="00CF3452"/>
    <w:pPr>
      <w:tabs>
        <w:tab w:val="center" w:pos="4680"/>
        <w:tab w:val="right" w:pos="9360"/>
      </w:tabs>
    </w:pPr>
  </w:style>
  <w:style w:type="character" w:customStyle="1" w:styleId="FooterChar">
    <w:name w:val="Footer Char"/>
    <w:basedOn w:val="DefaultParagraphFont"/>
    <w:link w:val="Footer"/>
    <w:uiPriority w:val="99"/>
    <w:rsid w:val="00CF3452"/>
    <w:rPr>
      <w:sz w:val="24"/>
      <w:szCs w:val="24"/>
    </w:rPr>
  </w:style>
  <w:style w:type="paragraph" w:customStyle="1" w:styleId="PoromisinA">
    <w:name w:val="Por omisión A"/>
    <w:rsid w:val="00BE3525"/>
    <w:rPr>
      <w:rFonts w:ascii="Helvetica Neue" w:hAnsi="Helvetica Neue" w:cs="Arial Unicode MS"/>
      <w:color w:val="000000"/>
      <w:sz w:val="22"/>
      <w:szCs w:val="22"/>
      <w:u w:color="000000"/>
    </w:rPr>
  </w:style>
  <w:style w:type="numbering" w:customStyle="1" w:styleId="Estiloimportado2">
    <w:name w:val="Estilo importado 2"/>
    <w:rsid w:val="00BE3525"/>
    <w:pPr>
      <w:numPr>
        <w:numId w:val="7"/>
      </w:numPr>
    </w:pPr>
  </w:style>
  <w:style w:type="numbering" w:customStyle="1" w:styleId="Estiloimportado40">
    <w:name w:val="Estilo importado 4.0"/>
    <w:rsid w:val="00BE3525"/>
    <w:pPr>
      <w:numPr>
        <w:numId w:val="10"/>
      </w:numPr>
    </w:pPr>
  </w:style>
  <w:style w:type="numbering" w:customStyle="1" w:styleId="Estiloimportado5">
    <w:name w:val="Estilo importado 5"/>
    <w:rsid w:val="00BE3525"/>
    <w:pPr>
      <w:numPr>
        <w:numId w:val="12"/>
      </w:numPr>
    </w:pPr>
  </w:style>
  <w:style w:type="paragraph" w:styleId="BalloonText">
    <w:name w:val="Balloon Text"/>
    <w:basedOn w:val="Normal"/>
    <w:link w:val="BalloonTextChar"/>
    <w:uiPriority w:val="99"/>
    <w:semiHidden/>
    <w:unhideWhenUsed/>
    <w:rsid w:val="00CB2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06"/>
    <w:rPr>
      <w:rFonts w:ascii="Segoe UI" w:hAnsi="Segoe UI" w:cs="Segoe UI"/>
      <w:sz w:val="18"/>
      <w:szCs w:val="18"/>
    </w:rPr>
  </w:style>
  <w:style w:type="character" w:styleId="CommentReference">
    <w:name w:val="annotation reference"/>
    <w:basedOn w:val="DefaultParagraphFont"/>
    <w:uiPriority w:val="99"/>
    <w:semiHidden/>
    <w:unhideWhenUsed/>
    <w:rsid w:val="007A7310"/>
    <w:rPr>
      <w:sz w:val="16"/>
      <w:szCs w:val="16"/>
    </w:rPr>
  </w:style>
  <w:style w:type="paragraph" w:styleId="CommentText">
    <w:name w:val="annotation text"/>
    <w:basedOn w:val="Normal"/>
    <w:link w:val="CommentTextChar"/>
    <w:uiPriority w:val="99"/>
    <w:semiHidden/>
    <w:unhideWhenUsed/>
    <w:rsid w:val="007A7310"/>
    <w:rPr>
      <w:sz w:val="20"/>
      <w:szCs w:val="20"/>
    </w:rPr>
  </w:style>
  <w:style w:type="character" w:customStyle="1" w:styleId="CommentTextChar">
    <w:name w:val="Comment Text Char"/>
    <w:basedOn w:val="DefaultParagraphFont"/>
    <w:link w:val="CommentText"/>
    <w:uiPriority w:val="99"/>
    <w:semiHidden/>
    <w:rsid w:val="007A7310"/>
  </w:style>
  <w:style w:type="paragraph" w:styleId="CommentSubject">
    <w:name w:val="annotation subject"/>
    <w:basedOn w:val="CommentText"/>
    <w:next w:val="CommentText"/>
    <w:link w:val="CommentSubjectChar"/>
    <w:uiPriority w:val="99"/>
    <w:semiHidden/>
    <w:unhideWhenUsed/>
    <w:rsid w:val="007A7310"/>
    <w:rPr>
      <w:b/>
      <w:bCs/>
    </w:rPr>
  </w:style>
  <w:style w:type="character" w:customStyle="1" w:styleId="CommentSubjectChar">
    <w:name w:val="Comment Subject Char"/>
    <w:basedOn w:val="CommentTextChar"/>
    <w:link w:val="CommentSubject"/>
    <w:uiPriority w:val="99"/>
    <w:semiHidden/>
    <w:rsid w:val="007A7310"/>
    <w:rPr>
      <w:b/>
      <w:bCs/>
    </w:rPr>
  </w:style>
  <w:style w:type="paragraph" w:styleId="Revision">
    <w:name w:val="Revision"/>
    <w:hidden/>
    <w:uiPriority w:val="99"/>
    <w:semiHidden/>
    <w:rsid w:val="00EF3D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20A6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9C48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EndnoteTextChar">
    <w:name w:val="Endnote Text Char"/>
    <w:basedOn w:val="DefaultParagraphFont"/>
    <w:link w:val="EndnoteText"/>
    <w:uiPriority w:val="99"/>
    <w:semiHidden/>
    <w:rsid w:val="009C4827"/>
    <w:rPr>
      <w:rFonts w:asciiTheme="minorHAnsi" w:eastAsiaTheme="minorHAnsi" w:hAnsiTheme="minorHAnsi" w:cstheme="minorBidi"/>
      <w:bdr w:val="none" w:sz="0" w:space="0" w:color="auto"/>
      <w:lang w:val="en-GB"/>
    </w:rPr>
  </w:style>
  <w:style w:type="character" w:styleId="EndnoteReference">
    <w:name w:val="endnote reference"/>
    <w:basedOn w:val="DefaultParagraphFont"/>
    <w:uiPriority w:val="99"/>
    <w:semiHidden/>
    <w:unhideWhenUsed/>
    <w:rsid w:val="009C4827"/>
    <w:rPr>
      <w:vertAlign w:val="superscript"/>
    </w:rPr>
  </w:style>
  <w:style w:type="paragraph" w:customStyle="1" w:styleId="HyperlinkTI">
    <w:name w:val="Hyperlink TI"/>
    <w:basedOn w:val="Encabezamiento"/>
    <w:link w:val="HyperlinkTIChar"/>
    <w:qFormat/>
    <w:rsid w:val="00C13D42"/>
    <w:pPr>
      <w:ind w:left="0"/>
      <w:jc w:val="both"/>
    </w:pPr>
    <w:rPr>
      <w:rFonts w:ascii="Arial" w:hAnsi="Arial" w:cs="Arial"/>
      <w:sz w:val="18"/>
      <w:szCs w:val="18"/>
      <w:u w:color="009FED"/>
      <w:lang w:val="en-GB"/>
    </w:rPr>
  </w:style>
  <w:style w:type="character" w:customStyle="1" w:styleId="EncabezamientoChar">
    <w:name w:val="Encabezamiento Char"/>
    <w:basedOn w:val="DefaultParagraphFont"/>
    <w:link w:val="Encabezamiento"/>
    <w:rsid w:val="00C13D42"/>
    <w:rPr>
      <w:rFonts w:ascii="Arial Narrow" w:hAnsi="Arial Narrow" w:cs="Arial Unicode MS"/>
      <w:color w:val="000000"/>
      <w:sz w:val="36"/>
      <w:szCs w:val="36"/>
      <w:u w:color="000000"/>
      <w:lang w:val="de-DE"/>
    </w:rPr>
  </w:style>
  <w:style w:type="character" w:customStyle="1" w:styleId="HyperlinkTIChar">
    <w:name w:val="Hyperlink TI Char"/>
    <w:basedOn w:val="EncabezamientoChar"/>
    <w:link w:val="HyperlinkTI"/>
    <w:rsid w:val="00C13D42"/>
    <w:rPr>
      <w:rFonts w:ascii="Arial" w:hAnsi="Arial" w:cs="Arial"/>
      <w:color w:val="000000"/>
      <w:sz w:val="18"/>
      <w:szCs w:val="18"/>
      <w:u w:color="009FED"/>
      <w:lang w:val="en-GB"/>
    </w:rPr>
  </w:style>
  <w:style w:type="paragraph" w:customStyle="1" w:styleId="Default">
    <w:name w:val="Default"/>
    <w:rsid w:val="00585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8660">
      <w:bodyDiv w:val="1"/>
      <w:marLeft w:val="0"/>
      <w:marRight w:val="0"/>
      <w:marTop w:val="0"/>
      <w:marBottom w:val="0"/>
      <w:divBdr>
        <w:top w:val="none" w:sz="0" w:space="0" w:color="auto"/>
        <w:left w:val="none" w:sz="0" w:space="0" w:color="auto"/>
        <w:bottom w:val="none" w:sz="0" w:space="0" w:color="auto"/>
        <w:right w:val="none" w:sz="0" w:space="0" w:color="auto"/>
      </w:divBdr>
    </w:div>
    <w:div w:id="150459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org/whatwedo/publication/international_principles_for_whistleblower_legis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y.org/whatwedo/publication/whistleblower_protection_and_the_un_convention_against_corrup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8DAE-905A-4C9C-82F6-9D887C96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8863</Characters>
  <Application>Microsoft Office Word</Application>
  <DocSecurity>0</DocSecurity>
  <Lines>158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Emilia Berazategui</dc:creator>
  <cp:lastModifiedBy>Gillian Dell</cp:lastModifiedBy>
  <cp:revision>3</cp:revision>
  <dcterms:created xsi:type="dcterms:W3CDTF">2019-08-23T14:16:00Z</dcterms:created>
  <dcterms:modified xsi:type="dcterms:W3CDTF">2019-08-23T14:17:00Z</dcterms:modified>
</cp:coreProperties>
</file>