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837DC" w14:textId="0936795C" w:rsidR="0024649C" w:rsidRPr="005F2597" w:rsidRDefault="004B0922" w:rsidP="00BC2368">
      <w:pPr>
        <w:pStyle w:val="Title"/>
        <w:spacing w:after="0"/>
        <w:jc w:val="center"/>
        <w:rPr>
          <w:b/>
          <w:bCs/>
          <w:sz w:val="28"/>
          <w:szCs w:val="28"/>
          <w:lang w:val="en-US"/>
        </w:rPr>
      </w:pPr>
      <w:sdt>
        <w:sdtPr>
          <w:rPr>
            <w:b/>
            <w:bCs/>
            <w:sz w:val="28"/>
            <w:szCs w:val="28"/>
            <w:lang w:val="en-US"/>
          </w:rPr>
          <w:alias w:val="Title"/>
          <w:tag w:val=""/>
          <w:id w:val="-887490816"/>
          <w:placeholder>
            <w:docPart w:val="42085621834B7D43979B74154BC49213"/>
          </w:placeholder>
          <w:dataBinding w:prefixMappings="xmlns:ns0='http://purl.org/dc/elements/1.1/' xmlns:ns1='http://schemas.openxmlformats.org/package/2006/metadata/core-properties' " w:xpath="/ns1:coreProperties[1]/ns0:title[1]" w:storeItemID="{6C3C8BC8-F283-45AE-878A-BAB7291924A1}"/>
          <w:text/>
        </w:sdtPr>
        <w:sdtContent>
          <w:r w:rsidRPr="004B0922">
            <w:rPr>
              <w:b/>
              <w:bCs/>
              <w:sz w:val="28"/>
              <w:szCs w:val="28"/>
              <w:lang w:val="en-US"/>
            </w:rPr>
            <w:t xml:space="preserve">Strengthening the UNCAC to confront environmental crime and </w:t>
          </w:r>
          <w:r w:rsidR="00132DC8">
            <w:rPr>
              <w:b/>
              <w:bCs/>
              <w:sz w:val="28"/>
              <w:szCs w:val="28"/>
              <w:lang w:val="en-US"/>
            </w:rPr>
            <w:t xml:space="preserve">                      </w:t>
          </w:r>
          <w:r w:rsidRPr="004B0922">
            <w:rPr>
              <w:b/>
              <w:bCs/>
              <w:sz w:val="28"/>
              <w:szCs w:val="28"/>
              <w:lang w:val="en-US"/>
            </w:rPr>
            <w:t>the climate crisis</w:t>
          </w:r>
        </w:sdtContent>
      </w:sdt>
    </w:p>
    <w:p w14:paraId="072F4047" w14:textId="77777777" w:rsidR="00BC2368" w:rsidRPr="005F2597" w:rsidRDefault="00BC2368" w:rsidP="00BC2368">
      <w:pPr>
        <w:pStyle w:val="Subtitle"/>
        <w:spacing w:before="0" w:after="0"/>
        <w:jc w:val="center"/>
        <w:rPr>
          <w:lang w:val="en-US"/>
        </w:rPr>
      </w:pPr>
    </w:p>
    <w:p w14:paraId="194C79FB" w14:textId="3DD87AF6" w:rsidR="00311C5E" w:rsidRPr="00F13088" w:rsidRDefault="00F13088" w:rsidP="00F13088">
      <w:pPr>
        <w:pStyle w:val="Subtitle"/>
        <w:spacing w:before="0" w:after="0"/>
        <w:jc w:val="center"/>
        <w:rPr>
          <w:lang w:val="en"/>
        </w:rPr>
      </w:pPr>
      <w:r w:rsidRPr="00F13088">
        <w:rPr>
          <w:lang w:val="en"/>
        </w:rPr>
        <w:t>Submission by the Environmental Crime and Corruption Working Group of the Global Civil Society Coalition for the UNCAC to the 11th Session of the UNCAC Conference of States Parties</w:t>
      </w:r>
    </w:p>
    <w:p w14:paraId="2B034953" w14:textId="77777777" w:rsidR="00311C5E" w:rsidRPr="005F2597" w:rsidRDefault="00311C5E" w:rsidP="00BC2368">
      <w:pPr>
        <w:pStyle w:val="Subtitle"/>
        <w:spacing w:before="0" w:after="0"/>
        <w:jc w:val="center"/>
        <w:rPr>
          <w:b/>
          <w:bCs/>
          <w:sz w:val="26"/>
          <w:szCs w:val="24"/>
          <w:lang w:val="en-US"/>
        </w:rPr>
      </w:pPr>
    </w:p>
    <w:p w14:paraId="37D3C9C4" w14:textId="0FFAFFFB" w:rsidR="008D52FF" w:rsidRPr="005F2597" w:rsidRDefault="00311C5E" w:rsidP="00BC2368">
      <w:pPr>
        <w:pStyle w:val="Subtitle"/>
        <w:spacing w:before="0" w:after="0"/>
        <w:jc w:val="center"/>
        <w:rPr>
          <w:b/>
          <w:bCs/>
          <w:sz w:val="26"/>
          <w:szCs w:val="24"/>
          <w:lang w:val="en-US"/>
        </w:rPr>
      </w:pPr>
      <w:r w:rsidRPr="005F2597">
        <w:rPr>
          <w:b/>
          <w:bCs/>
          <w:sz w:val="26"/>
          <w:szCs w:val="24"/>
          <w:lang w:val="en-US"/>
        </w:rPr>
        <w:t>2</w:t>
      </w:r>
      <w:r w:rsidR="003F0494">
        <w:rPr>
          <w:b/>
          <w:bCs/>
          <w:sz w:val="26"/>
          <w:szCs w:val="24"/>
          <w:lang w:val="en-US"/>
        </w:rPr>
        <w:t>1</w:t>
      </w:r>
      <w:r w:rsidR="008D52FF" w:rsidRPr="005F2597">
        <w:rPr>
          <w:b/>
          <w:bCs/>
          <w:sz w:val="26"/>
          <w:szCs w:val="24"/>
          <w:lang w:val="en-US"/>
        </w:rPr>
        <w:t xml:space="preserve"> </w:t>
      </w:r>
      <w:r w:rsidR="0064600C" w:rsidRPr="005F2597">
        <w:rPr>
          <w:b/>
          <w:bCs/>
          <w:sz w:val="26"/>
          <w:szCs w:val="24"/>
          <w:lang w:val="en-US"/>
        </w:rPr>
        <w:t>Nov</w:t>
      </w:r>
      <w:r w:rsidR="008D52FF" w:rsidRPr="005F2597">
        <w:rPr>
          <w:b/>
          <w:bCs/>
          <w:sz w:val="26"/>
          <w:szCs w:val="24"/>
          <w:lang w:val="en-US"/>
        </w:rPr>
        <w:t>ember 2025</w:t>
      </w:r>
    </w:p>
    <w:p w14:paraId="3CF30102" w14:textId="77777777" w:rsidR="00311C5E" w:rsidRPr="005F2597" w:rsidRDefault="00311C5E" w:rsidP="00DC7619">
      <w:pPr>
        <w:pStyle w:val="Heading2"/>
        <w:spacing w:before="0" w:after="0"/>
        <w:rPr>
          <w:rFonts w:eastAsia="Calibri" w:cs="Calibri"/>
          <w:bCs/>
          <w:color w:val="000000" w:themeColor="text1"/>
          <w:sz w:val="26"/>
          <w:szCs w:val="26"/>
          <w:lang w:val="en-US"/>
        </w:rPr>
      </w:pPr>
    </w:p>
    <w:p w14:paraId="154DF048" w14:textId="77777777" w:rsidR="00F13088" w:rsidRPr="00F13088" w:rsidRDefault="00F13088" w:rsidP="00F13088">
      <w:pPr>
        <w:spacing w:after="0"/>
        <w:jc w:val="both"/>
        <w:rPr>
          <w:rFonts w:asciiTheme="majorHAnsi" w:eastAsia="Inter" w:hAnsiTheme="majorHAnsi" w:cs="Inter"/>
          <w:b/>
          <w:bCs/>
          <w:sz w:val="26"/>
          <w:szCs w:val="26"/>
          <w:lang w:val="en"/>
        </w:rPr>
      </w:pPr>
      <w:r w:rsidRPr="00F13088">
        <w:rPr>
          <w:rFonts w:asciiTheme="majorHAnsi" w:eastAsia="Inter" w:hAnsiTheme="majorHAnsi" w:cs="Inter"/>
          <w:b/>
          <w:bCs/>
          <w:sz w:val="26"/>
          <w:szCs w:val="26"/>
          <w:lang w:val="en"/>
        </w:rPr>
        <w:t>The case for decisive action – A dedicated resolution</w:t>
      </w:r>
    </w:p>
    <w:p w14:paraId="6A07A7EF" w14:textId="77777777"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 xml:space="preserve">The </w:t>
      </w:r>
      <w:hyperlink r:id="rId8">
        <w:r w:rsidRPr="00F13088">
          <w:rPr>
            <w:rStyle w:val="Hyperlink"/>
            <w:rFonts w:ascii="Inter" w:eastAsia="Inter" w:hAnsi="Inter" w:cs="Inter"/>
            <w:sz w:val="24"/>
            <w:szCs w:val="24"/>
            <w:lang w:val="en"/>
          </w:rPr>
          <w:t>Environmental Crime and Corruption Working Group</w:t>
        </w:r>
      </w:hyperlink>
      <w:r w:rsidRPr="00F13088">
        <w:rPr>
          <w:rFonts w:ascii="Inter" w:eastAsia="Inter" w:hAnsi="Inter" w:cs="Inter"/>
          <w:sz w:val="24"/>
          <w:szCs w:val="24"/>
          <w:lang w:val="en"/>
        </w:rPr>
        <w:t xml:space="preserve"> of the Global Civil Society Coalition for the UNCAC, comprising over 230 civil society organizations (CSOs) globally, calls on State Parties to prioritize preventing and combating corruption that enables crimes that affect the environment (CAE) and undermines environment and climate action as a central focus of UNCAC implementation. We call on States to adopt a strong dedicated resolution at CoSP11 with concrete, time-bound commitments and adequate support for technical assistance and capacity-building, while integrating environmental and climate considerations across other UNCAC processes and resolutions.</w:t>
      </w:r>
    </w:p>
    <w:p w14:paraId="42C27B5A" w14:textId="77777777" w:rsidR="00F13088" w:rsidRPr="00F13088" w:rsidRDefault="00F13088" w:rsidP="00F13088">
      <w:pPr>
        <w:spacing w:before="240"/>
        <w:jc w:val="both"/>
        <w:rPr>
          <w:rFonts w:ascii="Inter" w:eastAsia="Inter" w:hAnsi="Inter" w:cs="Inter"/>
          <w:sz w:val="24"/>
          <w:szCs w:val="24"/>
          <w:lang w:val="en"/>
        </w:rPr>
      </w:pPr>
      <w:r w:rsidRPr="00F13088">
        <w:rPr>
          <w:rFonts w:ascii="Inter" w:eastAsia="Inter" w:hAnsi="Inter" w:cs="Inter"/>
          <w:sz w:val="24"/>
          <w:szCs w:val="24"/>
          <w:lang w:val="en"/>
        </w:rPr>
        <w:t>Corruption is a major driver of climate change, pollution, and biodiversity loss, with far-reaching impacts on people and the planet.</w:t>
      </w:r>
      <w:r w:rsidRPr="00F13088">
        <w:rPr>
          <w:rFonts w:ascii="Inter" w:eastAsia="Inter" w:hAnsi="Inter" w:cs="Inter"/>
          <w:sz w:val="24"/>
          <w:szCs w:val="24"/>
          <w:vertAlign w:val="superscript"/>
          <w:lang w:val="en"/>
        </w:rPr>
        <w:footnoteReference w:id="1"/>
      </w:r>
      <w:r w:rsidRPr="00F13088">
        <w:rPr>
          <w:rFonts w:ascii="Inter" w:eastAsia="Inter" w:hAnsi="Inter" w:cs="Inter"/>
          <w:sz w:val="24"/>
          <w:szCs w:val="24"/>
          <w:lang w:val="en"/>
        </w:rPr>
        <w:t xml:space="preserve"> It is also a key enabler of CAE, which significantly contribute to environmental degradation and undermine human rights, the rule of law, economic stability, security, and progress towards the Sustainable Development Goals.</w:t>
      </w:r>
      <w:r w:rsidRPr="00F13088">
        <w:rPr>
          <w:rFonts w:ascii="Inter" w:eastAsia="Inter" w:hAnsi="Inter" w:cs="Inter"/>
          <w:sz w:val="24"/>
          <w:szCs w:val="24"/>
          <w:vertAlign w:val="superscript"/>
          <w:lang w:val="en"/>
        </w:rPr>
        <w:footnoteReference w:id="2"/>
      </w:r>
      <w:r w:rsidRPr="00F13088">
        <w:rPr>
          <w:rFonts w:ascii="Inter" w:eastAsia="Inter" w:hAnsi="Inter" w:cs="Inter"/>
          <w:sz w:val="24"/>
          <w:szCs w:val="24"/>
          <w:lang w:val="en"/>
        </w:rPr>
        <w:t xml:space="preserve"> CAE </w:t>
      </w:r>
      <w:r w:rsidRPr="00F13088">
        <w:rPr>
          <w:rFonts w:ascii="Inter" w:eastAsia="Inter" w:hAnsi="Inter" w:cs="Inter"/>
          <w:sz w:val="24"/>
          <w:szCs w:val="24"/>
          <w:lang w:val="en"/>
        </w:rPr>
        <w:lastRenderedPageBreak/>
        <w:t>also exacerbate climate change by destroying vital carbon sinks, releasing greenhouse gases, and undermining ecosystem resilience.</w:t>
      </w:r>
      <w:r w:rsidRPr="00F13088">
        <w:rPr>
          <w:rFonts w:ascii="Inter" w:eastAsia="Inter" w:hAnsi="Inter" w:cs="Inter"/>
          <w:sz w:val="24"/>
          <w:szCs w:val="24"/>
          <w:vertAlign w:val="superscript"/>
          <w:lang w:val="en"/>
        </w:rPr>
        <w:footnoteReference w:id="3"/>
      </w:r>
      <w:r w:rsidRPr="00F13088">
        <w:rPr>
          <w:rFonts w:ascii="Inter" w:eastAsia="Inter" w:hAnsi="Inter" w:cs="Inter"/>
          <w:sz w:val="24"/>
          <w:szCs w:val="24"/>
          <w:lang w:val="en"/>
        </w:rPr>
        <w:t xml:space="preserve"> Corruption facilitating CAE compromises efforts to mitigate and adapt to climate change effects. </w:t>
      </w:r>
    </w:p>
    <w:p w14:paraId="3A030B61" w14:textId="77777777" w:rsidR="00F13088" w:rsidRPr="00F13088" w:rsidRDefault="00F13088" w:rsidP="00F13088">
      <w:pPr>
        <w:jc w:val="both"/>
        <w:rPr>
          <w:rFonts w:ascii="Inter" w:eastAsia="Inter" w:hAnsi="Inter" w:cs="Inter"/>
          <w:sz w:val="24"/>
          <w:szCs w:val="24"/>
          <w:lang w:val="en"/>
        </w:rPr>
      </w:pPr>
      <w:r w:rsidRPr="00F13088">
        <w:rPr>
          <w:rFonts w:ascii="Inter" w:eastAsia="Inter" w:hAnsi="Inter" w:cs="Inter"/>
          <w:sz w:val="24"/>
          <w:szCs w:val="24"/>
          <w:lang w:val="en"/>
        </w:rPr>
        <w:t>Bribery, embezzlement, state capture, conflicts of interest, and other forms of corruption allow organized criminal networks to profit from CAE such as illegal logging, mining, fishing, wildlife and waste trafficking while evading detection, apprehension, and prosecution.</w:t>
      </w:r>
      <w:r w:rsidRPr="00F13088">
        <w:rPr>
          <w:rFonts w:ascii="Inter" w:eastAsia="Inter" w:hAnsi="Inter" w:cs="Inter"/>
          <w:sz w:val="24"/>
          <w:szCs w:val="24"/>
          <w:vertAlign w:val="superscript"/>
          <w:lang w:val="en"/>
        </w:rPr>
        <w:footnoteReference w:id="4"/>
      </w:r>
      <w:r w:rsidRPr="00F13088">
        <w:rPr>
          <w:rFonts w:ascii="Inter" w:eastAsia="Inter" w:hAnsi="Inter" w:cs="Inter"/>
          <w:sz w:val="24"/>
          <w:szCs w:val="24"/>
          <w:lang w:val="en"/>
        </w:rPr>
        <w:t xml:space="preserve"> Organized environmental crime is widely regarded as the third largest criminal sector in the world, generating hundreds of billions of dollars annually.</w:t>
      </w:r>
      <w:r w:rsidRPr="00F13088">
        <w:rPr>
          <w:rFonts w:ascii="Inter" w:eastAsia="Inter" w:hAnsi="Inter" w:cs="Inter"/>
          <w:sz w:val="24"/>
          <w:szCs w:val="24"/>
          <w:vertAlign w:val="superscript"/>
          <w:lang w:val="en"/>
        </w:rPr>
        <w:footnoteReference w:id="5"/>
      </w:r>
      <w:r w:rsidRPr="00F13088">
        <w:rPr>
          <w:rFonts w:ascii="Inter" w:eastAsia="Inter" w:hAnsi="Inter" w:cs="Inter"/>
          <w:sz w:val="24"/>
          <w:szCs w:val="24"/>
          <w:lang w:val="en"/>
        </w:rPr>
        <w:t xml:space="preserve"> With a global economic impact estimated at USD 1-2 trillion annually, this expanding criminal economy deprives states of substantial revenues essential for governance and development.</w:t>
      </w:r>
      <w:r w:rsidRPr="00F13088">
        <w:rPr>
          <w:rFonts w:ascii="Inter" w:eastAsia="Inter" w:hAnsi="Inter" w:cs="Inter"/>
          <w:sz w:val="24"/>
          <w:szCs w:val="24"/>
          <w:vertAlign w:val="superscript"/>
          <w:lang w:val="en"/>
        </w:rPr>
        <w:footnoteReference w:id="6"/>
      </w:r>
      <w:r w:rsidRPr="00F13088">
        <w:rPr>
          <w:rFonts w:ascii="Inter" w:eastAsia="Inter" w:hAnsi="Inter" w:cs="Inter"/>
          <w:sz w:val="24"/>
          <w:szCs w:val="24"/>
          <w:lang w:val="en"/>
        </w:rPr>
        <w:t xml:space="preserve"> </w:t>
      </w:r>
    </w:p>
    <w:p w14:paraId="21D8605B" w14:textId="77777777" w:rsidR="00F13088" w:rsidRPr="00F13088" w:rsidRDefault="00F13088" w:rsidP="00F13088">
      <w:pPr>
        <w:jc w:val="both"/>
        <w:rPr>
          <w:rFonts w:ascii="Inter" w:eastAsia="Inter" w:hAnsi="Inter" w:cs="Inter"/>
          <w:sz w:val="24"/>
          <w:szCs w:val="24"/>
          <w:lang w:val="en"/>
        </w:rPr>
      </w:pPr>
      <w:r w:rsidRPr="00F13088">
        <w:rPr>
          <w:rFonts w:ascii="Inter" w:eastAsia="Inter" w:hAnsi="Inter" w:cs="Inter"/>
          <w:sz w:val="24"/>
          <w:szCs w:val="24"/>
          <w:lang w:val="en"/>
        </w:rPr>
        <w:t>Corruption further hinders the fair and effective use of resources earmarked for environmental protection and, increasingly, climate-related financing, preventing funds from reaching their intended purposes.</w:t>
      </w:r>
      <w:r w:rsidRPr="00F13088">
        <w:rPr>
          <w:rFonts w:ascii="Inter" w:eastAsia="Inter" w:hAnsi="Inter" w:cs="Inter"/>
          <w:sz w:val="24"/>
          <w:szCs w:val="24"/>
          <w:vertAlign w:val="superscript"/>
          <w:lang w:val="en"/>
        </w:rPr>
        <w:footnoteReference w:id="7"/>
      </w:r>
      <w:r w:rsidRPr="00F13088">
        <w:rPr>
          <w:rFonts w:ascii="Inter" w:eastAsia="Inter" w:hAnsi="Inter" w:cs="Inter"/>
          <w:sz w:val="24"/>
          <w:szCs w:val="24"/>
          <w:lang w:val="en"/>
        </w:rPr>
        <w:t xml:space="preserve"> The long-term environmental, social, and economic </w:t>
      </w:r>
      <w:r w:rsidRPr="00F13088">
        <w:rPr>
          <w:rFonts w:ascii="Inter" w:eastAsia="Inter" w:hAnsi="Inter" w:cs="Inter"/>
          <w:sz w:val="24"/>
          <w:szCs w:val="24"/>
          <w:lang w:val="en"/>
        </w:rPr>
        <w:lastRenderedPageBreak/>
        <w:t>consequences are often severe and irreversible, destabilizing ecosystems and economies, harming communities, and eroding public trust. These governance failures also heighten risks for environmental defenders, who face significantly increased levels of intimidation, violence, and murder in countries with high corruption.</w:t>
      </w:r>
      <w:r w:rsidRPr="00F13088">
        <w:rPr>
          <w:rFonts w:ascii="Inter" w:eastAsia="Inter" w:hAnsi="Inter" w:cs="Inter"/>
          <w:sz w:val="24"/>
          <w:szCs w:val="24"/>
          <w:vertAlign w:val="superscript"/>
          <w:lang w:val="en"/>
        </w:rPr>
        <w:footnoteReference w:id="8"/>
      </w:r>
      <w:r w:rsidRPr="00F13088">
        <w:rPr>
          <w:rFonts w:ascii="Inter" w:eastAsia="Inter" w:hAnsi="Inter" w:cs="Inter"/>
          <w:sz w:val="24"/>
          <w:szCs w:val="24"/>
          <w:lang w:val="en"/>
        </w:rPr>
        <w:t xml:space="preserve"> </w:t>
      </w:r>
    </w:p>
    <w:p w14:paraId="04F54DEA" w14:textId="77777777" w:rsidR="00F13088" w:rsidRPr="00F13088" w:rsidRDefault="00F13088" w:rsidP="00F13088">
      <w:pPr>
        <w:spacing w:after="0"/>
        <w:jc w:val="both"/>
        <w:rPr>
          <w:rFonts w:asciiTheme="majorHAnsi" w:eastAsia="Inter" w:hAnsiTheme="majorHAnsi" w:cs="Inter"/>
          <w:b/>
          <w:bCs/>
          <w:sz w:val="26"/>
          <w:szCs w:val="26"/>
          <w:lang w:val="en"/>
        </w:rPr>
      </w:pPr>
      <w:r w:rsidRPr="00F13088">
        <w:rPr>
          <w:rFonts w:asciiTheme="majorHAnsi" w:eastAsia="Inter" w:hAnsiTheme="majorHAnsi" w:cs="Inter"/>
          <w:b/>
          <w:bCs/>
          <w:sz w:val="26"/>
          <w:szCs w:val="26"/>
          <w:lang w:val="en"/>
        </w:rPr>
        <w:t>Why we need action now</w:t>
      </w:r>
    </w:p>
    <w:p w14:paraId="51BACF17" w14:textId="77777777"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 xml:space="preserve">The UNCAC is a powerful yet underused framework to address corruption driving the triple planetary crisis of climate change, biodiversity loss, and pollution. Leveraging the Convention more effectively is essential to protect natural resources and biodiversity, uphold accountability, integrity, rule of law, security, and public trust in climate and environmental governance. </w:t>
      </w:r>
    </w:p>
    <w:p w14:paraId="06A79155" w14:textId="77777777"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CoSP resolution 8/12 (2019) marked an important milestone by acknowledging the linkages between corruption and CAE. Yet threats have since intensified. Organized crime groups have expanded their illegal environmental operations, and the scale of climate-related finance has grown exponentially – creating both opportunities for protection and new risks of misuse.</w:t>
      </w:r>
    </w:p>
    <w:p w14:paraId="657F1389" w14:textId="77777777"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Resolution 8/12 left gaps, particularly on integrity and oversight mechanisms, beneficial ownership transparency, the role of enablers, and the deployment of special investigative techniques and joint investigations, which are crucial tools to effectively prevent and combat corruption facilitating CAE.</w:t>
      </w:r>
    </w:p>
    <w:p w14:paraId="571D6EAC" w14:textId="77777777"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 xml:space="preserve">There is clear momentum from multiple regional and international fora calling for stronger anti-corruption efforts in this sphere, with the UN Convention against Transnational Organized </w:t>
      </w:r>
      <w:r w:rsidRPr="00F13088">
        <w:rPr>
          <w:rFonts w:ascii="Inter" w:eastAsia="Inter" w:hAnsi="Inter" w:cs="Inter"/>
          <w:sz w:val="24"/>
          <w:szCs w:val="24"/>
          <w:lang w:val="en"/>
        </w:rPr>
        <w:lastRenderedPageBreak/>
        <w:t xml:space="preserve">Crime (UNTOC), the Convention on International Trade in Endangered Species of Wild Fauna and Flora (CITES), and the European Union (EU) emphasizing the intersection with CAE, and the Convention on Biological Diversity (CBD) highlighting the links with climate change. </w:t>
      </w:r>
    </w:p>
    <w:p w14:paraId="1F2B98A6" w14:textId="77777777" w:rsid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The UNCAC is uniquely positioned to bring coherence, embed anti-corruption safeguards into environmental and climate efforts, and bridge silos by applying its tools to CAE, climate action, and the energy transition. It is therefore time for governments to elevate corruption linked to CAE and climate risks on the UNCAC agenda to protect people, including future generations, and the planet.</w:t>
      </w:r>
    </w:p>
    <w:p w14:paraId="4FEE4E70" w14:textId="77777777" w:rsidR="00F13088" w:rsidRPr="00F13088" w:rsidRDefault="00F13088" w:rsidP="00F13088">
      <w:pPr>
        <w:spacing w:after="0"/>
        <w:jc w:val="both"/>
        <w:rPr>
          <w:rFonts w:ascii="Inter" w:eastAsia="Inter" w:hAnsi="Inter" w:cs="Inter"/>
          <w:sz w:val="24"/>
          <w:szCs w:val="24"/>
          <w:lang w:val="en"/>
        </w:rPr>
      </w:pPr>
    </w:p>
    <w:p w14:paraId="668BDBD0" w14:textId="77777777" w:rsidR="00F13088" w:rsidRPr="00F13088" w:rsidRDefault="00F13088" w:rsidP="00F13088">
      <w:pPr>
        <w:spacing w:after="0"/>
        <w:jc w:val="both"/>
        <w:rPr>
          <w:rFonts w:asciiTheme="majorHAnsi" w:eastAsia="Inter" w:hAnsiTheme="majorHAnsi" w:cs="Inter"/>
          <w:b/>
          <w:bCs/>
          <w:sz w:val="26"/>
          <w:szCs w:val="26"/>
          <w:lang w:val="en"/>
        </w:rPr>
      </w:pPr>
      <w:r w:rsidRPr="00F13088">
        <w:rPr>
          <w:rFonts w:asciiTheme="majorHAnsi" w:eastAsia="Inter" w:hAnsiTheme="majorHAnsi" w:cs="Inter"/>
          <w:b/>
          <w:bCs/>
          <w:sz w:val="26"/>
          <w:szCs w:val="26"/>
          <w:lang w:val="en"/>
        </w:rPr>
        <w:t>Recommended elements for inclusion in a resolution</w:t>
      </w:r>
    </w:p>
    <w:p w14:paraId="1E7CADA8" w14:textId="77777777"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 xml:space="preserve">The Working Group on Environmental Crime and Corruption calls upon States to adopt a strong resolution at CoSP11 to ensure UNCAC implementation keeps pace with today’s environmental and climate corruption risks. </w:t>
      </w:r>
    </w:p>
    <w:p w14:paraId="301EB982" w14:textId="77777777"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A new resolution should build on progress made at CoSP10 on promoting integrity, accountability and transparency in the fight against corruption (10/1), small island developing States (10/2), organized crime (10/5), beneficial ownership (10/6), protection of reporting persons (10/8), public procurement (10/9), and emergencies and crisis response and recovery (10/11), and explicitly apply and extend these commitments to the prevention and prosecution of corruption linked to CAE and climate change.</w:t>
      </w:r>
    </w:p>
    <w:p w14:paraId="25BF81E6" w14:textId="77777777" w:rsidR="00F13088" w:rsidRPr="00F13088" w:rsidRDefault="00F13088" w:rsidP="00F13088">
      <w:pPr>
        <w:spacing w:before="240"/>
        <w:jc w:val="both"/>
        <w:rPr>
          <w:rFonts w:ascii="Inter" w:eastAsia="Inter" w:hAnsi="Inter" w:cs="Inter"/>
          <w:sz w:val="24"/>
          <w:szCs w:val="24"/>
          <w:lang w:val="en"/>
        </w:rPr>
      </w:pPr>
      <w:r w:rsidRPr="00F13088">
        <w:rPr>
          <w:rFonts w:ascii="Inter" w:eastAsia="Inter" w:hAnsi="Inter" w:cs="Inter"/>
          <w:sz w:val="24"/>
          <w:szCs w:val="24"/>
          <w:lang w:val="en"/>
        </w:rPr>
        <w:t xml:space="preserve">Particularly, the Working Group calls upon States Parties to: </w:t>
      </w:r>
    </w:p>
    <w:p w14:paraId="3EE72DF2"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Recognize the UNCAC as a key framework for addressing corruption linked to CAE and climate change</w:t>
      </w:r>
      <w:r w:rsidRPr="00F13088">
        <w:rPr>
          <w:rFonts w:ascii="Inter" w:eastAsia="Inter" w:hAnsi="Inter" w:cs="Inter"/>
          <w:sz w:val="24"/>
          <w:szCs w:val="24"/>
          <w:lang w:val="en"/>
        </w:rPr>
        <w:t>, including corruption risks in climate finance, and strengthen international cooperation in this sphere, including during emergencies and crises.</w:t>
      </w:r>
    </w:p>
    <w:p w14:paraId="45DA6B24"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Ensure integrity throughout the criminal justice chain</w:t>
      </w:r>
      <w:r w:rsidRPr="00F13088">
        <w:rPr>
          <w:rFonts w:ascii="Inter" w:eastAsia="Inter" w:hAnsi="Inter" w:cs="Inter"/>
          <w:sz w:val="24"/>
          <w:szCs w:val="24"/>
          <w:lang w:val="en"/>
        </w:rPr>
        <w:t>, including among customs and border control services and in bodies awarding and overseeing contracts, concessions, permits and licenses.</w:t>
      </w:r>
    </w:p>
    <w:p w14:paraId="674D0FD4"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Strengthen inter-agency cooperation</w:t>
      </w:r>
      <w:r w:rsidRPr="00F13088">
        <w:rPr>
          <w:rFonts w:ascii="Inter" w:eastAsia="Inter" w:hAnsi="Inter" w:cs="Inter"/>
          <w:sz w:val="24"/>
          <w:szCs w:val="24"/>
          <w:lang w:val="en"/>
        </w:rPr>
        <w:t xml:space="preserve"> among environmental protection agencies, anti-corruption bodies, financial intelligence units, law enforcement, and regulatory authorities, and ensure these entities have adequate authority, independence, resources and mandates (articles 6(2), 11, 36).</w:t>
      </w:r>
    </w:p>
    <w:p w14:paraId="12652A5C"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 xml:space="preserve">Expand the use of financial investigations, joint investigations and special investigative techniques </w:t>
      </w:r>
      <w:r w:rsidRPr="00F13088">
        <w:rPr>
          <w:rFonts w:ascii="Inter" w:eastAsia="Inter" w:hAnsi="Inter" w:cs="Inter"/>
          <w:sz w:val="24"/>
          <w:szCs w:val="24"/>
          <w:lang w:val="en"/>
        </w:rPr>
        <w:t xml:space="preserve">to combat corruption enabling CAE (articles 49, 50), ensuring </w:t>
      </w:r>
      <w:r w:rsidRPr="00F13088">
        <w:rPr>
          <w:rFonts w:ascii="Inter" w:eastAsia="Inter" w:hAnsi="Inter" w:cs="Inter"/>
          <w:sz w:val="24"/>
          <w:szCs w:val="24"/>
          <w:lang w:val="en"/>
        </w:rPr>
        <w:lastRenderedPageBreak/>
        <w:t>these measures are supported by adequate resources and capacity, and implemented with appropriate safeguards for proportionality and fundamental rights.</w:t>
      </w:r>
      <w:r w:rsidRPr="00F13088">
        <w:rPr>
          <w:rFonts w:ascii="Inter" w:eastAsia="Inter" w:hAnsi="Inter" w:cs="Inter"/>
          <w:sz w:val="24"/>
          <w:szCs w:val="24"/>
          <w:vertAlign w:val="superscript"/>
          <w:lang w:val="en"/>
        </w:rPr>
        <w:footnoteReference w:id="9"/>
      </w:r>
    </w:p>
    <w:p w14:paraId="4E16C5F1"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Treat CAE as predicate offences for money laundering</w:t>
      </w:r>
      <w:r w:rsidRPr="00F13088">
        <w:rPr>
          <w:rFonts w:ascii="Inter" w:eastAsia="Inter" w:hAnsi="Inter" w:cs="Inter"/>
          <w:sz w:val="24"/>
          <w:szCs w:val="24"/>
          <w:lang w:val="en"/>
        </w:rPr>
        <w:t>, and incorporate them into FATF-compliant national risk assessments (article 23).</w:t>
      </w:r>
    </w:p>
    <w:p w14:paraId="5AB48312"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Guarantee access to adequate, accurate, up-to-date beneficial ownership information</w:t>
      </w:r>
      <w:r w:rsidRPr="00F13088">
        <w:rPr>
          <w:rFonts w:ascii="Inter" w:eastAsia="Inter" w:hAnsi="Inter" w:cs="Inter"/>
          <w:sz w:val="24"/>
          <w:szCs w:val="24"/>
          <w:lang w:val="en"/>
        </w:rPr>
        <w:t>, including on politically exposed persons or excluded individuals holding ownership rights in the natural resources, waste and climate sectors, and ensure central registers are publicly accessible to all relevant stakeholders.</w:t>
      </w:r>
    </w:p>
    <w:p w14:paraId="5A151F2E"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 xml:space="preserve">Promote integrity, transparency, accountability and effectiveness throughout the whole cycle of their systems of public procurement, including awarding contracts, concessions, permits and licenses </w:t>
      </w:r>
      <w:r w:rsidRPr="00F13088">
        <w:rPr>
          <w:rFonts w:ascii="Inter" w:eastAsia="Inter" w:hAnsi="Inter" w:cs="Inter"/>
          <w:sz w:val="24"/>
          <w:szCs w:val="24"/>
          <w:lang w:val="en"/>
        </w:rPr>
        <w:t>including in the natural resource, waste and climate sectors, introduce conflict-of-interest measures, and prevent infiltration by organized criminal groups (article 9).</w:t>
      </w:r>
    </w:p>
    <w:p w14:paraId="775A1926"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Assess and mitigate corruption risks</w:t>
      </w:r>
      <w:r w:rsidRPr="00F13088">
        <w:rPr>
          <w:rFonts w:ascii="Inter" w:eastAsia="Inter" w:hAnsi="Inter" w:cs="Inter"/>
          <w:sz w:val="24"/>
          <w:szCs w:val="24"/>
          <w:lang w:val="en"/>
        </w:rPr>
        <w:t xml:space="preserve"> across natural resource value chains and in climate change adaptation and mitigation projects. </w:t>
      </w:r>
    </w:p>
    <w:p w14:paraId="5683C728" w14:textId="4DE70463"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Promote transparency and accountability of the management, allocation and use of climate finance funds and climate finance reporting</w:t>
      </w:r>
      <w:r w:rsidRPr="00F13088">
        <w:rPr>
          <w:rFonts w:ascii="Inter" w:eastAsia="Inter" w:hAnsi="Inter" w:cs="Inter"/>
          <w:sz w:val="24"/>
          <w:szCs w:val="24"/>
          <w:lang w:val="en"/>
        </w:rPr>
        <w:t xml:space="preserve">, ensuring effective public participation (article 9(2)), and strengthen oversight and integrity safeguards for carbon market registries. </w:t>
      </w:r>
    </w:p>
    <w:p w14:paraId="187C2938"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 xml:space="preserve">Strengthen regulatory and supervisory regimes </w:t>
      </w:r>
      <w:r w:rsidRPr="00F13088">
        <w:rPr>
          <w:rFonts w:ascii="Inter" w:eastAsia="Inter" w:hAnsi="Inter" w:cs="Inter"/>
          <w:sz w:val="24"/>
          <w:szCs w:val="24"/>
          <w:lang w:val="en"/>
        </w:rPr>
        <w:t>for banks and non-bank financial institutions and, where appropriate, other bodies particularly susceptible to money laundering linked to CAE.</w:t>
      </w:r>
      <w:r w:rsidRPr="00F13088">
        <w:rPr>
          <w:rFonts w:ascii="Inter" w:eastAsia="Inter" w:hAnsi="Inter" w:cs="Inter"/>
          <w:sz w:val="24"/>
          <w:szCs w:val="24"/>
          <w:vertAlign w:val="superscript"/>
          <w:lang w:val="en"/>
        </w:rPr>
        <w:footnoteReference w:id="10"/>
      </w:r>
    </w:p>
    <w:p w14:paraId="6E45FB18"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lastRenderedPageBreak/>
        <w:t>Enhance protection for reporting persons and whistleblowers</w:t>
      </w:r>
      <w:r w:rsidRPr="00F13088">
        <w:rPr>
          <w:rFonts w:ascii="Inter" w:eastAsia="Inter" w:hAnsi="Inter" w:cs="Inter"/>
          <w:sz w:val="24"/>
          <w:szCs w:val="24"/>
          <w:lang w:val="en"/>
        </w:rPr>
        <w:t xml:space="preserve"> exposing corruption related to CAE, including protection against unjustified treatment, and establish secure, accessible, diversified, and inclusive reporting systems to enhance enforcement efforts (articles 8, 32, 33). Engage with civil society organizations to support environmental whistleblowers in accessing transnational reporting channels that safeguard identity and ensure follow-up action.</w:t>
      </w:r>
      <w:r w:rsidRPr="00F13088">
        <w:rPr>
          <w:rFonts w:ascii="Inter" w:eastAsia="Inter" w:hAnsi="Inter" w:cs="Inter"/>
          <w:sz w:val="24"/>
          <w:szCs w:val="24"/>
          <w:vertAlign w:val="superscript"/>
          <w:lang w:val="en"/>
        </w:rPr>
        <w:footnoteReference w:id="11"/>
      </w:r>
    </w:p>
    <w:p w14:paraId="0DBEB8F0"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Ensure conditions for individuals and groups outside the public sector</w:t>
      </w:r>
      <w:r w:rsidRPr="00F13088">
        <w:rPr>
          <w:rFonts w:ascii="Inter" w:eastAsia="Inter" w:hAnsi="Inter" w:cs="Inter"/>
          <w:sz w:val="24"/>
          <w:szCs w:val="24"/>
          <w:lang w:val="en"/>
        </w:rPr>
        <w:t xml:space="preserve"> to contribute effectively, independently and without fear of reprisal, including by establishing monitoring and protection mechanisms to help those coming under attack and by applying Free, Prior and Informed Consent (FPIC) for projects affecting communities and Indigenous Peoples (article 13).</w:t>
      </w:r>
    </w:p>
    <w:p w14:paraId="68C99458"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Mainstream gender, youth, and access by the public and private sectors to environmental information and open databases</w:t>
      </w:r>
      <w:r w:rsidRPr="00F13088">
        <w:rPr>
          <w:rFonts w:ascii="Inter" w:eastAsia="Inter" w:hAnsi="Inter" w:cs="Inter"/>
          <w:sz w:val="24"/>
          <w:szCs w:val="24"/>
          <w:lang w:val="en"/>
        </w:rPr>
        <w:t>, including environmental impact assessments, and ensure free access to Earth observation satellite data on land use and environmental change.</w:t>
      </w:r>
    </w:p>
    <w:p w14:paraId="184CE6E9"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Seize and confiscate proceeds of corruption linked to CAE</w:t>
      </w:r>
      <w:r w:rsidRPr="00F13088">
        <w:rPr>
          <w:rFonts w:ascii="Inter" w:eastAsia="Inter" w:hAnsi="Inter" w:cs="Inter"/>
          <w:sz w:val="24"/>
          <w:szCs w:val="24"/>
          <w:lang w:val="en"/>
        </w:rPr>
        <w:t>, and ensure recovered assets are used transparently to restore the damage caused to the environment and victims.</w:t>
      </w:r>
      <w:r w:rsidRPr="00F13088">
        <w:rPr>
          <w:rFonts w:ascii="Inter" w:eastAsia="Inter" w:hAnsi="Inter" w:cs="Inter"/>
          <w:sz w:val="24"/>
          <w:szCs w:val="24"/>
          <w:vertAlign w:val="superscript"/>
          <w:lang w:val="en"/>
        </w:rPr>
        <w:footnoteReference w:id="12"/>
      </w:r>
    </w:p>
    <w:p w14:paraId="5943448C"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lastRenderedPageBreak/>
        <w:t>Strengthen technical assistance and capacity-building</w:t>
      </w:r>
      <w:r w:rsidRPr="00F13088">
        <w:rPr>
          <w:rFonts w:ascii="Inter" w:eastAsia="Inter" w:hAnsi="Inter" w:cs="Inter"/>
          <w:sz w:val="24"/>
          <w:szCs w:val="24"/>
          <w:lang w:val="en"/>
        </w:rPr>
        <w:t>, ensure transparency in technical assistance projects, and involve civil society both as providers and recipients of assistance.</w:t>
      </w:r>
    </w:p>
    <w:p w14:paraId="04A988C7"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Report on progress since Resolution 8/12</w:t>
      </w:r>
      <w:r w:rsidRPr="00F13088">
        <w:rPr>
          <w:rFonts w:ascii="Inter" w:eastAsia="Inter" w:hAnsi="Inter" w:cs="Inter"/>
          <w:sz w:val="24"/>
          <w:szCs w:val="24"/>
          <w:lang w:val="en"/>
        </w:rPr>
        <w:t xml:space="preserve"> and commit to more ambitious, action-oriented, and practical measures, ensuring that the new resolution is designed for effective implementation and supported by regular reporting on its execution.</w:t>
      </w:r>
    </w:p>
    <w:p w14:paraId="76F0EC91"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Collect and analyze good practices, lessons learned, challenges, and data</w:t>
      </w:r>
      <w:r w:rsidRPr="00F13088">
        <w:rPr>
          <w:rFonts w:ascii="Inter" w:eastAsia="Inter" w:hAnsi="Inter" w:cs="Inter"/>
          <w:sz w:val="24"/>
          <w:szCs w:val="24"/>
          <w:lang w:val="en"/>
        </w:rPr>
        <w:t xml:space="preserve"> on anti-corruption measures applied to CAE and climate finance and disseminate findings to inform technical assistance and policy development.</w:t>
      </w:r>
    </w:p>
    <w:p w14:paraId="13B0724F" w14:textId="77777777" w:rsidR="00F13088" w:rsidRPr="00F13088" w:rsidRDefault="00F13088" w:rsidP="00F13088">
      <w:pPr>
        <w:numPr>
          <w:ilvl w:val="0"/>
          <w:numId w:val="59"/>
        </w:numPr>
        <w:spacing w:after="0"/>
        <w:jc w:val="both"/>
        <w:rPr>
          <w:rFonts w:ascii="Inter" w:eastAsia="Inter" w:hAnsi="Inter" w:cs="Inter"/>
          <w:sz w:val="24"/>
          <w:szCs w:val="24"/>
          <w:lang w:val="en"/>
        </w:rPr>
      </w:pPr>
      <w:r w:rsidRPr="00F13088">
        <w:rPr>
          <w:rFonts w:ascii="Inter" w:eastAsia="Inter" w:hAnsi="Inter" w:cs="Inter"/>
          <w:b/>
          <w:bCs/>
          <w:sz w:val="24"/>
          <w:szCs w:val="24"/>
          <w:lang w:val="en"/>
        </w:rPr>
        <w:t>Mandate follow-up through UNCAC working groups</w:t>
      </w:r>
      <w:r w:rsidRPr="00F13088">
        <w:rPr>
          <w:rFonts w:ascii="Inter" w:eastAsia="Inter" w:hAnsi="Inter" w:cs="Inter"/>
          <w:sz w:val="24"/>
          <w:szCs w:val="24"/>
          <w:lang w:val="en"/>
        </w:rPr>
        <w:t>, and enhance cooperation with UNTOC (particularly its Working Group on International Cooperation), UN Framework Convention on Climate Change (UNFCCC), CBD, CITES, and other bodies to address the interlinkages between corruption, CAE, nature conservation, and climate change, avoid duplication, and ensure the efficient and effective use of resources.</w:t>
      </w:r>
    </w:p>
    <w:p w14:paraId="034BD952" w14:textId="77777777" w:rsidR="00F13088" w:rsidRDefault="00F13088" w:rsidP="00F13088">
      <w:pPr>
        <w:spacing w:after="0"/>
        <w:jc w:val="both"/>
        <w:rPr>
          <w:rFonts w:ascii="Inter" w:eastAsia="Inter" w:hAnsi="Inter" w:cs="Inter"/>
          <w:b/>
          <w:bCs/>
          <w:sz w:val="26"/>
          <w:szCs w:val="26"/>
          <w:lang w:val="en"/>
        </w:rPr>
      </w:pPr>
    </w:p>
    <w:p w14:paraId="731E0F4C" w14:textId="5D4D8DF5" w:rsidR="00F13088" w:rsidRPr="00F13088" w:rsidRDefault="00F13088" w:rsidP="00F13088">
      <w:pPr>
        <w:spacing w:after="0"/>
        <w:jc w:val="both"/>
        <w:rPr>
          <w:rFonts w:asciiTheme="majorHAnsi" w:eastAsia="Inter" w:hAnsiTheme="majorHAnsi" w:cs="Inter"/>
          <w:b/>
          <w:bCs/>
          <w:sz w:val="26"/>
          <w:szCs w:val="26"/>
          <w:lang w:val="en"/>
        </w:rPr>
      </w:pPr>
      <w:r w:rsidRPr="00F13088">
        <w:rPr>
          <w:rFonts w:asciiTheme="majorHAnsi" w:eastAsia="Inter" w:hAnsiTheme="majorHAnsi" w:cs="Inter"/>
          <w:b/>
          <w:bCs/>
          <w:sz w:val="26"/>
          <w:szCs w:val="26"/>
          <w:lang w:val="en"/>
        </w:rPr>
        <w:t>Conclusion: Addressing corruption to protect people and planet</w:t>
      </w:r>
    </w:p>
    <w:p w14:paraId="633DC534" w14:textId="77777777"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The UNCAC must be fully leveraged to respond to some of the gravest threats of our time. This means applying its tools to prevent, detect, and sanction corruption that facilitates environmental crime and climate harm.</w:t>
      </w:r>
    </w:p>
    <w:p w14:paraId="53C339A0" w14:textId="77777777"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 xml:space="preserve">There can be no effective environmental protection or climate action without confronting corruption head-on. The UNCAC must evolve to meet this challenge – and CoSP11 offers a decisive opportunity to chart that course. </w:t>
      </w:r>
    </w:p>
    <w:p w14:paraId="038691E2" w14:textId="2B19193B" w:rsidR="00F13088" w:rsidRPr="00F13088" w:rsidRDefault="00F13088" w:rsidP="00F13088">
      <w:pPr>
        <w:spacing w:before="240" w:after="0"/>
        <w:jc w:val="both"/>
        <w:rPr>
          <w:rFonts w:ascii="Inter" w:eastAsia="Inter" w:hAnsi="Inter" w:cs="Inter"/>
          <w:sz w:val="24"/>
          <w:szCs w:val="24"/>
          <w:lang w:val="en"/>
        </w:rPr>
      </w:pPr>
      <w:r w:rsidRPr="00F13088">
        <w:rPr>
          <w:rFonts w:ascii="Inter" w:eastAsia="Inter" w:hAnsi="Inter" w:cs="Inter"/>
          <w:sz w:val="24"/>
          <w:szCs w:val="24"/>
          <w:lang w:val="en"/>
        </w:rPr>
        <w:t>For further detail</w:t>
      </w:r>
      <w:r w:rsidR="00F96890">
        <w:rPr>
          <w:rFonts w:ascii="Inter" w:eastAsia="Inter" w:hAnsi="Inter" w:cs="Inter"/>
          <w:sz w:val="24"/>
          <w:szCs w:val="24"/>
          <w:lang w:val="en"/>
        </w:rPr>
        <w:t>s</w:t>
      </w:r>
      <w:r w:rsidRPr="00F13088">
        <w:rPr>
          <w:rFonts w:ascii="Inter" w:eastAsia="Inter" w:hAnsi="Inter" w:cs="Inter"/>
          <w:sz w:val="24"/>
          <w:szCs w:val="24"/>
          <w:lang w:val="en"/>
        </w:rPr>
        <w:t xml:space="preserve"> on our recommendations, as well as good practices and gaps identified in UNCAC implementation related to corruption, CAE, and climate, please refer to the compendium </w:t>
      </w:r>
      <w:hyperlink r:id="rId9" w:history="1">
        <w:r w:rsidRPr="00F13088">
          <w:rPr>
            <w:rStyle w:val="Hyperlink"/>
            <w:rFonts w:ascii="Inter" w:eastAsia="Inter" w:hAnsi="Inter" w:cs="Inter"/>
            <w:sz w:val="24"/>
            <w:szCs w:val="24"/>
            <w:lang w:val="en"/>
          </w:rPr>
          <w:t>he</w:t>
        </w:r>
        <w:r w:rsidRPr="00F13088">
          <w:rPr>
            <w:rStyle w:val="Hyperlink"/>
            <w:rFonts w:ascii="Inter" w:eastAsia="Inter" w:hAnsi="Inter" w:cs="Inter"/>
            <w:sz w:val="24"/>
            <w:szCs w:val="24"/>
            <w:lang w:val="en"/>
          </w:rPr>
          <w:t>r</w:t>
        </w:r>
        <w:r w:rsidRPr="00F13088">
          <w:rPr>
            <w:rStyle w:val="Hyperlink"/>
            <w:rFonts w:ascii="Inter" w:eastAsia="Inter" w:hAnsi="Inter" w:cs="Inter"/>
            <w:sz w:val="24"/>
            <w:szCs w:val="24"/>
            <w:lang w:val="en"/>
          </w:rPr>
          <w:t>e</w:t>
        </w:r>
      </w:hyperlink>
      <w:r w:rsidRPr="00F13088">
        <w:rPr>
          <w:rFonts w:ascii="Inter" w:eastAsia="Inter" w:hAnsi="Inter" w:cs="Inter"/>
          <w:sz w:val="24"/>
          <w:szCs w:val="24"/>
          <w:lang w:val="en"/>
        </w:rPr>
        <w:t>.</w:t>
      </w:r>
      <w:r w:rsidR="000C1C4A" w:rsidRPr="006B1240">
        <w:rPr>
          <w:rStyle w:val="FootnoteReference"/>
          <w:rFonts w:ascii="Inter" w:eastAsia="Inter" w:hAnsi="Inter" w:cs="Inter"/>
          <w:color w:val="000000" w:themeColor="text1"/>
          <w:szCs w:val="24"/>
          <w:lang w:val="en"/>
        </w:rPr>
        <w:footnoteReference w:id="13"/>
      </w:r>
    </w:p>
    <w:p w14:paraId="5C974E03" w14:textId="77777777" w:rsidR="00F13088" w:rsidRPr="00F13088" w:rsidRDefault="00F13088" w:rsidP="00F13088">
      <w:pPr>
        <w:spacing w:after="0"/>
        <w:jc w:val="both"/>
        <w:rPr>
          <w:rFonts w:ascii="Inter" w:eastAsia="Inter" w:hAnsi="Inter" w:cs="Inter"/>
          <w:sz w:val="24"/>
          <w:szCs w:val="24"/>
          <w:lang w:val="en"/>
        </w:rPr>
      </w:pPr>
    </w:p>
    <w:p w14:paraId="1D6BF7AC" w14:textId="77777777" w:rsidR="009F2C07" w:rsidRPr="00F939EF" w:rsidRDefault="009F2C07" w:rsidP="004C120F">
      <w:pPr>
        <w:spacing w:after="0"/>
        <w:jc w:val="both"/>
        <w:rPr>
          <w:rFonts w:ascii="Inter" w:eastAsia="Inter" w:hAnsi="Inter" w:cs="Inter"/>
          <w:sz w:val="24"/>
          <w:szCs w:val="24"/>
        </w:rPr>
      </w:pPr>
    </w:p>
    <w:sectPr w:rsidR="009F2C07" w:rsidRPr="00F939EF" w:rsidSect="00BC2368">
      <w:headerReference w:type="default" r:id="rId10"/>
      <w:footerReference w:type="default" r:id="rId11"/>
      <w:headerReference w:type="first" r:id="rId12"/>
      <w:footerReference w:type="first" r:id="rId13"/>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A013D" w14:textId="77777777" w:rsidR="00634AA4" w:rsidRDefault="00634AA4" w:rsidP="00F04F4E">
      <w:pPr>
        <w:spacing w:after="0"/>
      </w:pPr>
      <w:r>
        <w:separator/>
      </w:r>
    </w:p>
  </w:endnote>
  <w:endnote w:type="continuationSeparator" w:id="0">
    <w:p w14:paraId="22F1D222" w14:textId="77777777" w:rsidR="00634AA4" w:rsidRDefault="00634AA4" w:rsidP="00F04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4185CF06-F5FA-A945-9F54-4992F7C2CD8D}"/>
  </w:font>
  <w:font w:name="Times New Roman">
    <w:panose1 w:val="02020603050405020304"/>
    <w:charset w:val="00"/>
    <w:family w:val="roman"/>
    <w:pitch w:val="variable"/>
    <w:sig w:usb0="E0002EFF" w:usb1="C000785B" w:usb2="00000009" w:usb3="00000000" w:csb0="000001FF" w:csb1="00000000"/>
    <w:embedRegular r:id="rId2" w:fontKey="{61EA5180-BA8A-A74E-A4E1-386B842A1AD9}"/>
    <w:embedBold r:id="rId3" w:fontKey="{28C84A06-F711-D44B-96E4-12A4FEAFA8CE}"/>
    <w:embedItalic r:id="rId4" w:fontKey="{66036CBC-8B9B-2A4E-807B-A941F5F5F22A}"/>
  </w:font>
  <w:font w:name="Courier New">
    <w:panose1 w:val="02070309020205020404"/>
    <w:charset w:val="00"/>
    <w:family w:val="modern"/>
    <w:pitch w:val="fixed"/>
    <w:sig w:usb0="E0002AFF" w:usb1="C0007843" w:usb2="00000009" w:usb3="00000000" w:csb0="000001FF" w:csb1="00000000"/>
    <w:embedRegular r:id="rId5" w:fontKey="{7CE8613B-1E9A-4244-9EFE-1B130D5E16B9}"/>
  </w:font>
  <w:font w:name="Wingdings">
    <w:panose1 w:val="05000000000000000000"/>
    <w:charset w:val="4D"/>
    <w:family w:val="decorative"/>
    <w:pitch w:val="variable"/>
    <w:sig w:usb0="00000003" w:usb1="00000000" w:usb2="00000000" w:usb3="00000000" w:csb0="80000001" w:csb1="00000000"/>
    <w:embedRegular r:id="rId6" w:fontKey="{8DA24FB7-4F28-DE42-A56F-04C0B0991944}"/>
  </w:font>
  <w:font w:name="Calibri">
    <w:panose1 w:val="020F0502020204030204"/>
    <w:charset w:val="00"/>
    <w:family w:val="swiss"/>
    <w:pitch w:val="variable"/>
    <w:sig w:usb0="E0002AFF" w:usb1="C000247B" w:usb2="00000009" w:usb3="00000000" w:csb0="000001FF" w:csb1="00000000"/>
    <w:embedRegular r:id="rId7" w:fontKey="{06132571-94F0-9944-8C9B-363C735EB1DD}"/>
    <w:embedBold r:id="rId8" w:fontKey="{31819E51-9A0E-284D-95D4-237685D58C49}"/>
    <w:embedItalic r:id="rId9" w:fontKey="{6591C6FB-2331-6447-BC9C-2E6BCAFE1DBB}"/>
  </w:font>
  <w:font w:name="Noto Sans">
    <w:panose1 w:val="020B0502040504020204"/>
    <w:charset w:val="00"/>
    <w:family w:val="swiss"/>
    <w:pitch w:val="variable"/>
    <w:sig w:usb0="E00082FF" w:usb1="400078FF" w:usb2="00000021" w:usb3="00000000" w:csb0="0000019F" w:csb1="00000000"/>
    <w:embedRegular r:id="rId10" w:fontKey="{B7075BB5-CAD0-CA46-8963-0D538EACBE9E}"/>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7" w:fontKey="{F35114B0-AB23-A04C-9960-8CD852B090CB}"/>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embedRegular r:id="rId18" w:fontKey="{83D3297D-C77E-474F-9A01-AF88FE28F0B9}"/>
  </w:font>
  <w:font w:name="Tahoma">
    <w:panose1 w:val="020B0604030504040204"/>
    <w:charset w:val="00"/>
    <w:family w:val="swiss"/>
    <w:pitch w:val="variable"/>
    <w:sig w:usb0="E1002EFF" w:usb1="C000605B" w:usb2="00000029" w:usb3="00000000" w:csb0="000101FF" w:csb1="00000000"/>
    <w:embedRegular r:id="rId19" w:fontKey="{F8349CE9-C4C5-444F-8CBF-AE701C37E6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AC06" w14:textId="77777777" w:rsidR="0074030F" w:rsidRPr="00CE4209" w:rsidRDefault="00CE4209" w:rsidP="00CE4209">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sidR="00155435">
      <w:rPr>
        <w:rStyle w:val="PageNumber"/>
        <w:noProof/>
      </w:rPr>
      <w:t>1</w:t>
    </w:r>
    <w:r w:rsidRPr="00CE420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57D9" w14:textId="77777777" w:rsidR="00D7094D" w:rsidRDefault="00D7094D" w:rsidP="00D7094D">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Pr>
        <w:rStyle w:val="PageNumber"/>
      </w:rPr>
      <w:t>2</w:t>
    </w:r>
    <w:r w:rsidRPr="00CE420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C2958" w14:textId="77777777" w:rsidR="00634AA4" w:rsidRDefault="00634AA4" w:rsidP="00F04F4E">
      <w:pPr>
        <w:spacing w:after="0"/>
      </w:pPr>
      <w:r>
        <w:separator/>
      </w:r>
    </w:p>
  </w:footnote>
  <w:footnote w:type="continuationSeparator" w:id="0">
    <w:p w14:paraId="19E2C932" w14:textId="77777777" w:rsidR="00634AA4" w:rsidRDefault="00634AA4" w:rsidP="00F04F4E">
      <w:pPr>
        <w:spacing w:after="0"/>
      </w:pPr>
      <w:r>
        <w:continuationSeparator/>
      </w:r>
    </w:p>
  </w:footnote>
  <w:footnote w:id="1">
    <w:p w14:paraId="3398AACC" w14:textId="7D4EFE23"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cs="Calibri"/>
          <w:szCs w:val="20"/>
        </w:rPr>
        <w:t xml:space="preserve"> </w:t>
      </w:r>
      <w:r w:rsidRPr="000C1C4A">
        <w:rPr>
          <w:rFonts w:eastAsia="Calibri" w:cs="Calibri"/>
          <w:szCs w:val="20"/>
        </w:rPr>
        <w:t xml:space="preserve">Transparency International (TI), "Climate &amp; corruption case atlas," Transparency International Climate Governance Integrity Programme, n.d. </w:t>
      </w:r>
      <w:hyperlink r:id="rId1">
        <w:r w:rsidRPr="000C1C4A">
          <w:rPr>
            <w:rFonts w:eastAsia="Calibri" w:cs="Calibri"/>
            <w:color w:val="1155CC"/>
            <w:szCs w:val="20"/>
            <w:u w:val="single"/>
          </w:rPr>
          <w:t>https://www.transparency.org/en/projects/climate-governance-integrity-programme/climate-corruption-atlas</w:t>
        </w:r>
      </w:hyperlink>
      <w:r w:rsidRPr="000C1C4A">
        <w:rPr>
          <w:rFonts w:eastAsia="Calibri" w:cs="Calibri"/>
          <w:szCs w:val="20"/>
        </w:rPr>
        <w:t xml:space="preserve"> which includes 83 cases across the globe showcasing the impact of corruption on the climate; Global Atlas of Environmental Justice, n.d. </w:t>
      </w:r>
      <w:hyperlink r:id="rId2">
        <w:r w:rsidRPr="000C1C4A">
          <w:rPr>
            <w:rFonts w:eastAsia="Calibri" w:cs="Calibri"/>
            <w:color w:val="1155CC"/>
            <w:szCs w:val="20"/>
            <w:u w:val="single"/>
          </w:rPr>
          <w:t>https://ejatlas.org/</w:t>
        </w:r>
      </w:hyperlink>
      <w:r w:rsidRPr="000C1C4A">
        <w:rPr>
          <w:rFonts w:eastAsia="Calibri" w:cs="Calibri"/>
          <w:szCs w:val="20"/>
        </w:rPr>
        <w:t xml:space="preserve"> which has documented over 4,300 socio-environmental conflicts worldwide, with close to 70 cases across the globe showcasing the impact of corruption on global warming; UNCAC Coalition's Working Group on Environmental Crime and Corruption. "Breaking the silos: combating corruption and environmental crime to advance climate protection goals," UNCAC Coalition and Wildlife Justice Commission (WJC), 2024. </w:t>
      </w:r>
      <w:hyperlink r:id="rId3">
        <w:r w:rsidRPr="000C1C4A">
          <w:rPr>
            <w:rFonts w:eastAsia="Calibri" w:cs="Calibri"/>
            <w:color w:val="1155CC"/>
            <w:szCs w:val="20"/>
            <w:u w:val="single"/>
          </w:rPr>
          <w:t>https://uncaccoalition.org/breaking-the-silos-combating-corruption-and-environmental-crime-to-advance-climate-protection-goals</w:t>
        </w:r>
      </w:hyperlink>
      <w:r w:rsidR="00DA15AF">
        <w:t>.</w:t>
      </w:r>
      <w:r w:rsidRPr="000C1C4A">
        <w:rPr>
          <w:rFonts w:eastAsia="Calibri" w:cs="Calibri"/>
          <w:szCs w:val="20"/>
        </w:rPr>
        <w:t xml:space="preserve"> </w:t>
      </w:r>
    </w:p>
  </w:footnote>
  <w:footnote w:id="2">
    <w:p w14:paraId="02DD288F" w14:textId="77777777"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cs="Calibri"/>
          <w:szCs w:val="20"/>
        </w:rPr>
        <w:t xml:space="preserve"> </w:t>
      </w:r>
      <w:r w:rsidRPr="000C1C4A">
        <w:rPr>
          <w:rFonts w:eastAsia="Calibri" w:cs="Calibri"/>
          <w:szCs w:val="20"/>
        </w:rPr>
        <w:t xml:space="preserve">United Nations Office on Drugs and Crime (UNODC). "Preventing and combating corruption as it relates to crimes that have an impact on the environment: an overview," United Nations, 2021. </w:t>
      </w:r>
      <w:hyperlink r:id="rId4">
        <w:r w:rsidRPr="000C1C4A">
          <w:rPr>
            <w:rFonts w:eastAsia="Calibri" w:cs="Calibri"/>
            <w:color w:val="1155CC"/>
            <w:szCs w:val="20"/>
            <w:u w:val="single"/>
          </w:rPr>
          <w:t>https://www.unodc.org/documents/treaties/UNCAC/COSP/session9/CAC-COSP-2021-CRP.8_E.pdf</w:t>
        </w:r>
      </w:hyperlink>
      <w:r w:rsidRPr="000C1C4A">
        <w:rPr>
          <w:rFonts w:eastAsia="Calibri" w:cs="Calibri"/>
          <w:szCs w:val="20"/>
        </w:rPr>
        <w:t xml:space="preserve">; Andre Francisco Pilon, “The Bubbles or the Boiling Water? Ways to regenerate the Earth and Humanity”, Katoikos, 2025. </w:t>
      </w:r>
      <w:hyperlink r:id="rId5">
        <w:r w:rsidRPr="000C1C4A">
          <w:rPr>
            <w:rFonts w:eastAsia="Calibri" w:cs="Calibri"/>
            <w:color w:val="1155CC"/>
            <w:szCs w:val="20"/>
            <w:u w:val="single"/>
          </w:rPr>
          <w:t>https://katoikos.world/analysis/the-bubbles-or-the-boiling-water-ways-to-regenerate-the-earth-and-humanity.html</w:t>
        </w:r>
      </w:hyperlink>
      <w:r w:rsidRPr="000C1C4A">
        <w:rPr>
          <w:rFonts w:eastAsia="Calibri" w:cs="Calibri"/>
          <w:szCs w:val="20"/>
        </w:rPr>
        <w:t xml:space="preserve"> which highlights that these crimes often thrive in contexts where weak governance and certain legally sanctioned but environmentally harmful practices further erode oversight and enforcement. </w:t>
      </w:r>
    </w:p>
  </w:footnote>
  <w:footnote w:id="3">
    <w:p w14:paraId="79699E42" w14:textId="5A7870E9" w:rsidR="00F13088" w:rsidRPr="000C1C4A" w:rsidRDefault="00F13088" w:rsidP="00F13088">
      <w:pPr>
        <w:spacing w:after="0" w:line="240" w:lineRule="auto"/>
        <w:rPr>
          <w:rFonts w:cs="Calibri"/>
          <w:szCs w:val="20"/>
        </w:rPr>
      </w:pPr>
      <w:r w:rsidRPr="000C1C4A">
        <w:rPr>
          <w:rFonts w:cs="Calibri"/>
          <w:szCs w:val="20"/>
          <w:vertAlign w:val="superscript"/>
        </w:rPr>
        <w:footnoteRef/>
      </w:r>
      <w:r w:rsidRPr="000C1C4A">
        <w:rPr>
          <w:rFonts w:cs="Calibri"/>
          <w:szCs w:val="20"/>
        </w:rPr>
        <w:t xml:space="preserve"> </w:t>
      </w:r>
      <w:r w:rsidRPr="000C1C4A">
        <w:rPr>
          <w:rFonts w:eastAsia="Calibri" w:cs="Calibri"/>
          <w:szCs w:val="20"/>
        </w:rPr>
        <w:t xml:space="preserve">UNODC and World Wildlife Fund (WWF). "Crimes that affect the environment and climate change," UNODC and WWF, 2022. </w:t>
      </w:r>
      <w:hyperlink r:id="rId6">
        <w:r w:rsidRPr="000C1C4A">
          <w:rPr>
            <w:rFonts w:eastAsia="Calibri" w:cs="Calibri"/>
            <w:color w:val="1155CC"/>
            <w:szCs w:val="20"/>
            <w:u w:val="single"/>
          </w:rPr>
          <w:t>https://www.unodc.org/res/environment-climate/resources_html/Crimes_that_Affect_the_Environment_and_Climate_Change.pdf</w:t>
        </w:r>
      </w:hyperlink>
      <w:r w:rsidR="00DA15AF">
        <w:t>.</w:t>
      </w:r>
      <w:r w:rsidRPr="000C1C4A">
        <w:rPr>
          <w:rFonts w:eastAsia="Calibri" w:cs="Calibri"/>
          <w:szCs w:val="20"/>
        </w:rPr>
        <w:t xml:space="preserve"> </w:t>
      </w:r>
    </w:p>
  </w:footnote>
  <w:footnote w:id="4">
    <w:p w14:paraId="63E93F8A" w14:textId="77777777"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eastAsia="Calibri" w:cs="Calibri"/>
          <w:szCs w:val="20"/>
        </w:rPr>
        <w:t xml:space="preserve"> David Aled Williams, "Transnational environmental crime and corruption," in </w:t>
      </w:r>
      <w:r w:rsidRPr="000C1C4A">
        <w:rPr>
          <w:rFonts w:eastAsia="Calibri" w:cs="Calibri"/>
          <w:i/>
          <w:iCs/>
          <w:szCs w:val="20"/>
        </w:rPr>
        <w:t>Research Handbook on Environmental Crimes and Criminal Enforcement</w:t>
      </w:r>
      <w:r w:rsidRPr="000C1C4A">
        <w:rPr>
          <w:rFonts w:eastAsia="Calibri" w:cs="Calibri"/>
          <w:szCs w:val="20"/>
        </w:rPr>
        <w:t xml:space="preserve">, edited by S. L. Smith and L. Sahramaki, (Edward Elgar Publishing, 2024), pp. 246 - 262.  </w:t>
      </w:r>
      <w:hyperlink r:id="rId7">
        <w:r w:rsidRPr="000C1C4A">
          <w:rPr>
            <w:rFonts w:eastAsia="Calibri" w:cs="Calibri"/>
            <w:color w:val="1155CC"/>
            <w:szCs w:val="20"/>
            <w:u w:val="single"/>
          </w:rPr>
          <w:t>https://www.elgaronline.com/edcollbook/book/9781035309511/9781035309511.xml</w:t>
        </w:r>
      </w:hyperlink>
      <w:r w:rsidRPr="000C1C4A">
        <w:rPr>
          <w:rFonts w:eastAsia="Calibri" w:cs="Calibri"/>
          <w:szCs w:val="20"/>
        </w:rPr>
        <w:t xml:space="preserve">; </w:t>
      </w:r>
      <w:hyperlink r:id="rId8">
        <w:r w:rsidRPr="000C1C4A">
          <w:rPr>
            <w:rFonts w:eastAsia="Calibri" w:cs="Calibri"/>
            <w:szCs w:val="20"/>
          </w:rPr>
          <w:t>Organisation for Economic Co-operation and Development</w:t>
        </w:r>
      </w:hyperlink>
      <w:r w:rsidRPr="000C1C4A">
        <w:rPr>
          <w:rFonts w:eastAsia="Calibri" w:cs="Calibri"/>
          <w:szCs w:val="20"/>
        </w:rPr>
        <w:t xml:space="preserve"> (OECD). "OECD Foreign Bribery Report: An analysis of the crime of bribery of foreign public officials," OECD, 2014. </w:t>
      </w:r>
      <w:hyperlink r:id="rId9">
        <w:r w:rsidRPr="000C1C4A">
          <w:rPr>
            <w:rFonts w:eastAsia="Calibri" w:cs="Calibri"/>
            <w:color w:val="1155CC"/>
            <w:szCs w:val="20"/>
            <w:u w:val="single"/>
          </w:rPr>
          <w:t>https://www.oecd.org/content/dam/oecd/en/publications/reports/2014/12/oecd-foreign-bribery-report_g1g4d808/9789264226616-en.pdf</w:t>
        </w:r>
      </w:hyperlink>
      <w:r w:rsidRPr="000C1C4A">
        <w:rPr>
          <w:rFonts w:eastAsia="Calibri" w:cs="Calibri"/>
          <w:szCs w:val="20"/>
        </w:rPr>
        <w:t xml:space="preserve"> according to which one in five cases of transnational bribery involves the extractive sector; UNODC. "The nexus between drugs and crimes that affect the environment and convergent crime in the Amazon Basin," United Nations, 2023. </w:t>
      </w:r>
      <w:hyperlink r:id="rId10">
        <w:r w:rsidRPr="000C1C4A">
          <w:rPr>
            <w:rFonts w:eastAsia="Calibri" w:cs="Calibri"/>
            <w:color w:val="1155CC"/>
            <w:szCs w:val="20"/>
            <w:u w:val="single"/>
          </w:rPr>
          <w:t>https://www.unodc.org/res/WDR-2023/WDR23_B3_CH4_Amazon.pdf</w:t>
        </w:r>
      </w:hyperlink>
      <w:r w:rsidRPr="000C1C4A">
        <w:rPr>
          <w:rFonts w:eastAsia="Calibri" w:cs="Calibri"/>
          <w:szCs w:val="20"/>
        </w:rPr>
        <w:t xml:space="preserve"> which highlights crime convergence between corruption and CAE.</w:t>
      </w:r>
    </w:p>
  </w:footnote>
  <w:footnote w:id="5">
    <w:p w14:paraId="063781C1" w14:textId="77777777"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eastAsia="Calibri" w:cs="Calibri"/>
          <w:szCs w:val="20"/>
        </w:rPr>
        <w:t xml:space="preserve"> Christian Nellemann, Rune Henriksen, Riccardo Pravettoni, Davyth Stewart, Maria Kotsovou, Margaretha Schlingemann, Mark Shaw, Tuesday Reitano. (Eds). 2018. World atlas of illicit flows. A RHIPTO-INTERPOL-GI Assessment. RHIPTO-Norwegian Center for Global Analyses, INTERPOL and the Global Initiative Against Transnational Organized Crime (GI-TOC). </w:t>
      </w:r>
      <w:hyperlink r:id="rId11">
        <w:r w:rsidRPr="000C1C4A">
          <w:rPr>
            <w:rFonts w:eastAsia="Calibri" w:cs="Calibri"/>
            <w:color w:val="1155CC"/>
            <w:szCs w:val="20"/>
            <w:u w:val="single"/>
          </w:rPr>
          <w:t>www.rhipto.org</w:t>
        </w:r>
      </w:hyperlink>
      <w:r w:rsidRPr="000C1C4A">
        <w:rPr>
          <w:rFonts w:eastAsia="Calibri" w:cs="Calibri"/>
          <w:szCs w:val="20"/>
        </w:rPr>
        <w:t xml:space="preserve">  </w:t>
      </w:r>
      <w:hyperlink r:id="rId12">
        <w:r w:rsidRPr="000C1C4A">
          <w:rPr>
            <w:rFonts w:eastAsia="Calibri" w:cs="Calibri"/>
            <w:color w:val="1155CC"/>
            <w:szCs w:val="20"/>
            <w:u w:val="single"/>
          </w:rPr>
          <w:t>www.interpol.int</w:t>
        </w:r>
      </w:hyperlink>
      <w:r w:rsidRPr="000C1C4A">
        <w:rPr>
          <w:rFonts w:eastAsia="Calibri" w:cs="Calibri"/>
          <w:szCs w:val="20"/>
        </w:rPr>
        <w:t xml:space="preserve">  ISBN 978-82-690434-2-6 Printed by RHIPTO, which estimates that organized environmental crime generates USD110–281 billion annually in criminal proceeds. </w:t>
      </w:r>
    </w:p>
  </w:footnote>
  <w:footnote w:id="6">
    <w:p w14:paraId="1A797CD1" w14:textId="77777777"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eastAsia="Calibri" w:cs="Calibri"/>
          <w:szCs w:val="20"/>
        </w:rPr>
        <w:t xml:space="preserve"> World Bank Group, Global Wildlife Program (GWP) and Global Environmental Facility (GEF). "Illegal logging, fishing, and wildlife trade: the costs and how to combat it," World Bank Group, GWP and GEF, 2019. </w:t>
      </w:r>
      <w:hyperlink r:id="rId13">
        <w:r w:rsidRPr="000C1C4A">
          <w:rPr>
            <w:rFonts w:eastAsia="Calibri" w:cs="Calibri"/>
            <w:color w:val="1155CC"/>
            <w:szCs w:val="20"/>
            <w:u w:val="single"/>
          </w:rPr>
          <w:t>https://thedocs.worldbank.org/en/doc/482771571323560234-0120022019/original/WBGReport1017Digital.pdf</w:t>
        </w:r>
      </w:hyperlink>
      <w:r w:rsidRPr="000C1C4A">
        <w:rPr>
          <w:rFonts w:eastAsia="Calibri" w:cs="Calibri"/>
          <w:szCs w:val="20"/>
        </w:rPr>
        <w:t xml:space="preserve"> which estimates that the global value of illegal logging, fishing and wildlife trade in 2016 was USD1–2 trillion, and that governments in source countries lose around USD7–12 billion per year in revenues. </w:t>
      </w:r>
    </w:p>
  </w:footnote>
  <w:footnote w:id="7">
    <w:p w14:paraId="41B61E24" w14:textId="77777777"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eastAsia="Calibri" w:cs="Calibri"/>
          <w:szCs w:val="20"/>
        </w:rPr>
        <w:t xml:space="preserve"> UNODC and World Bank Group. "Addressing corruption risks to safeguard the response to climate change: Discussion Draft II," United Nations, 2024. </w:t>
      </w:r>
      <w:hyperlink r:id="rId14">
        <w:r w:rsidRPr="000C1C4A">
          <w:rPr>
            <w:rFonts w:eastAsia="Calibri" w:cs="Calibri"/>
            <w:color w:val="1155CC"/>
            <w:szCs w:val="20"/>
            <w:u w:val="single"/>
          </w:rPr>
          <w:t>https://track.unodc.org/uploads/documents/corruption/Publications/2024/Addressing_Corruption_Risks_to_Safeguard_the_Response_the_Climate_Change_Discussion_Draft_II.pdf</w:t>
        </w:r>
      </w:hyperlink>
      <w:r w:rsidRPr="000C1C4A">
        <w:rPr>
          <w:rFonts w:eastAsia="Calibri" w:cs="Calibri"/>
          <w:szCs w:val="20"/>
        </w:rPr>
        <w:t xml:space="preserve">; Michael Nest, Saul Mullard and Cecilie Wathne, "Corruption and climate finance: implications for climate change interventions," U4 Brief 2020:14 (2020). </w:t>
      </w:r>
      <w:hyperlink r:id="rId15">
        <w:r w:rsidRPr="000C1C4A">
          <w:rPr>
            <w:rFonts w:eastAsia="Calibri" w:cs="Calibri"/>
            <w:color w:val="1155CC"/>
            <w:szCs w:val="20"/>
            <w:u w:val="single"/>
          </w:rPr>
          <w:t>https://www.u4.no/api/publications/corruption-and-climate-finance/pdf</w:t>
        </w:r>
      </w:hyperlink>
      <w:r w:rsidRPr="000C1C4A">
        <w:rPr>
          <w:rFonts w:eastAsia="Calibri" w:cs="Calibri"/>
          <w:szCs w:val="20"/>
        </w:rPr>
        <w:t xml:space="preserve">; Michael Nest and Saul Mullard, "Climate governance in a fast-changing world: evolving patterns of corruption risks," U4 Issue 2025:2 (2025). </w:t>
      </w:r>
      <w:hyperlink r:id="rId16">
        <w:r w:rsidRPr="000C1C4A">
          <w:rPr>
            <w:rFonts w:eastAsia="Calibri" w:cs="Calibri"/>
            <w:color w:val="1155CC"/>
            <w:szCs w:val="20"/>
            <w:u w:val="single"/>
          </w:rPr>
          <w:t>https://www.u4.no/api/publications/climate-governance-in-a-fast-changing-world-evolving-patterns-of-corruption-risks/pdf</w:t>
        </w:r>
      </w:hyperlink>
      <w:r w:rsidRPr="000C1C4A">
        <w:rPr>
          <w:rFonts w:eastAsia="Calibri" w:cs="Calibri"/>
          <w:szCs w:val="20"/>
        </w:rPr>
        <w:t xml:space="preserve">; World Bank, Green Climate Fund (GCF), Transparency International. "2nd Symposium on supranational responses to corruption: integrity in climate finance &amp; action: knowledge report," World Bank, GCF and TI, 2024. </w:t>
      </w:r>
      <w:hyperlink r:id="rId17">
        <w:r w:rsidRPr="000C1C4A">
          <w:rPr>
            <w:rFonts w:eastAsia="Calibri" w:cs="Calibri"/>
            <w:color w:val="1155CC"/>
            <w:szCs w:val="20"/>
            <w:u w:val="single"/>
          </w:rPr>
          <w:t>https://www.worldbank.org/content/dam/documents/sanctions/other-documents/2025/may/Knowledge%20Report%20Symposium%20Supranational%20Integrity%20in%20Climate%20Finance.pdf</w:t>
        </w:r>
      </w:hyperlink>
      <w:r w:rsidRPr="000C1C4A">
        <w:rPr>
          <w:rFonts w:eastAsia="Calibri" w:cs="Calibri"/>
          <w:szCs w:val="20"/>
        </w:rPr>
        <w:t xml:space="preserve">; Club of Rome, "Open Letter on COP Reform to all States that are Parties to the Convention," Club of Rome, 2024. </w:t>
      </w:r>
      <w:hyperlink r:id="rId18">
        <w:r w:rsidRPr="000C1C4A">
          <w:rPr>
            <w:rFonts w:eastAsia="Calibri" w:cs="Calibri"/>
            <w:color w:val="1155CC"/>
            <w:szCs w:val="20"/>
            <w:u w:val="single"/>
          </w:rPr>
          <w:t>https://www.clubofrome.org/cop-reform-2024/</w:t>
        </w:r>
      </w:hyperlink>
      <w:r w:rsidRPr="000C1C4A">
        <w:rPr>
          <w:rFonts w:eastAsia="Calibri" w:cs="Calibri"/>
          <w:szCs w:val="20"/>
        </w:rPr>
        <w:t xml:space="preserve"> calling for improved oversight of climate financing flows reinforces the urgency of tackling corruption in climate governance; International Court of Justice. </w:t>
      </w:r>
      <w:r w:rsidRPr="000C1C4A">
        <w:rPr>
          <w:rFonts w:eastAsia="Calibri" w:cs="Calibri"/>
          <w:i/>
          <w:iCs/>
          <w:szCs w:val="20"/>
        </w:rPr>
        <w:t>Obligations of States in respect of climate change</w:t>
      </w:r>
      <w:r w:rsidRPr="000C1C4A">
        <w:rPr>
          <w:rFonts w:eastAsia="Calibri" w:cs="Calibri"/>
          <w:szCs w:val="20"/>
        </w:rPr>
        <w:t xml:space="preserve">, Advisory Opinion, I.C.J. (2025). </w:t>
      </w:r>
      <w:hyperlink r:id="rId19">
        <w:r w:rsidRPr="000C1C4A">
          <w:rPr>
            <w:rFonts w:eastAsia="Calibri" w:cs="Calibri"/>
            <w:color w:val="1155CC"/>
            <w:szCs w:val="20"/>
            <w:u w:val="single"/>
          </w:rPr>
          <w:t>https://www.icj-cij.org/sites/default/files/case-related/187/187-20250723-adv-01-00-en.pdf</w:t>
        </w:r>
      </w:hyperlink>
      <w:r w:rsidRPr="000C1C4A">
        <w:rPr>
          <w:rFonts w:eastAsia="Calibri" w:cs="Calibri"/>
          <w:szCs w:val="20"/>
        </w:rPr>
        <w:t xml:space="preserve"> stating that nations can be held legally accountable for their greenhouse-gas emissions significantly strengthens the legal and moral case for mobilizing much greater flows of climate funding.</w:t>
      </w:r>
    </w:p>
  </w:footnote>
  <w:footnote w:id="8">
    <w:p w14:paraId="02AF181C" w14:textId="59907F92"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eastAsia="Calibri" w:cs="Calibri"/>
          <w:szCs w:val="20"/>
        </w:rPr>
        <w:t xml:space="preserve"> Transparency International. "Corruption perceptions index 2024," TI, 2024. </w:t>
      </w:r>
      <w:hyperlink r:id="rId20">
        <w:r w:rsidRPr="000C1C4A">
          <w:rPr>
            <w:rFonts w:eastAsia="Calibri" w:cs="Calibri"/>
            <w:color w:val="1155CC"/>
            <w:szCs w:val="20"/>
            <w:u w:val="single"/>
          </w:rPr>
          <w:t>https://www.transparency.de/fileadmin/Redaktion/CPI2024_Report_EN.pdf</w:t>
        </w:r>
      </w:hyperlink>
      <w:r w:rsidRPr="000C1C4A">
        <w:rPr>
          <w:rFonts w:eastAsia="Calibri" w:cs="Calibri"/>
          <w:szCs w:val="20"/>
        </w:rPr>
        <w:t xml:space="preserve">; United Nations General Assembly. "At the heart of the struggle: human rights defenders working against corruption - Report of the Special Rapporteur on the situation of human rights defenders, Mary Lawlor." A/HRC/49/49, December 28 2021. </w:t>
      </w:r>
      <w:hyperlink r:id="rId21">
        <w:r w:rsidRPr="000C1C4A">
          <w:rPr>
            <w:rFonts w:eastAsia="Calibri" w:cs="Calibri"/>
            <w:color w:val="1155CC"/>
            <w:szCs w:val="20"/>
            <w:u w:val="single"/>
          </w:rPr>
          <w:t>https://documents.un.org/doc/undoc/gen/g21/396/47/pdf/g2139647.pdf?OpenElement</w:t>
        </w:r>
      </w:hyperlink>
      <w:r w:rsidRPr="000C1C4A">
        <w:rPr>
          <w:rFonts w:eastAsia="Calibri" w:cs="Calibri"/>
          <w:szCs w:val="20"/>
        </w:rPr>
        <w:t xml:space="preserve">; Global Witness. "Missing voices: the violent erasure of land and environmental defenders," Global Witness, 2024. </w:t>
      </w:r>
      <w:hyperlink r:id="rId22">
        <w:r w:rsidRPr="000C1C4A">
          <w:rPr>
            <w:rFonts w:eastAsia="Calibri" w:cs="Calibri"/>
            <w:color w:val="1155CC"/>
            <w:szCs w:val="20"/>
            <w:u w:val="single"/>
          </w:rPr>
          <w:t>https://gw.cdn.ngo/media/documents/Missing_Voices_-_Global_Witness_land_and_environmental_defenders_report.pdf</w:t>
        </w:r>
      </w:hyperlink>
      <w:r w:rsidR="00DA15AF">
        <w:t>.</w:t>
      </w:r>
      <w:r w:rsidRPr="000C1C4A">
        <w:rPr>
          <w:rFonts w:eastAsia="Calibri" w:cs="Calibri"/>
          <w:szCs w:val="20"/>
        </w:rPr>
        <w:t xml:space="preserve"> </w:t>
      </w:r>
    </w:p>
  </w:footnote>
  <w:footnote w:id="9">
    <w:p w14:paraId="123C9329" w14:textId="77777777"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eastAsia="Calibri" w:cs="Calibri"/>
          <w:szCs w:val="20"/>
        </w:rPr>
        <w:t xml:space="preserve"> UNODC. "</w:t>
      </w:r>
      <w:r w:rsidRPr="000C1C4A">
        <w:rPr>
          <w:rFonts w:eastAsia="Calibri" w:cs="Calibri"/>
          <w:i/>
          <w:iCs/>
          <w:szCs w:val="20"/>
        </w:rPr>
        <w:t>Set of non-binding recommendations and conclusions based on lessons learned regarding the implementation of chapters III and IV of the United Nations Convention against corruption</w:t>
      </w:r>
      <w:r w:rsidRPr="000C1C4A">
        <w:rPr>
          <w:rFonts w:eastAsia="Calibri" w:cs="Calibri"/>
          <w:szCs w:val="20"/>
        </w:rPr>
        <w:t xml:space="preserve">," (English, Publishing and Library Section, United Nations Office at Vienna), 2020. </w:t>
      </w:r>
      <w:hyperlink r:id="rId23">
        <w:r w:rsidRPr="000C1C4A">
          <w:rPr>
            <w:rFonts w:eastAsia="Calibri" w:cs="Calibri"/>
            <w:color w:val="1155CC"/>
            <w:szCs w:val="20"/>
            <w:u w:val="single"/>
            <w:lang w:val="fr-FR"/>
          </w:rPr>
          <w:t>https://www.unodc.org/documents/corruption/Publications/2020/20-00843_Ebook.pdf</w:t>
        </w:r>
      </w:hyperlink>
      <w:r w:rsidRPr="000C1C4A">
        <w:rPr>
          <w:rFonts w:eastAsia="Calibri" w:cs="Calibri"/>
          <w:szCs w:val="20"/>
          <w:lang w:val="fr-FR"/>
        </w:rPr>
        <w:t xml:space="preserve">; UNODC. </w:t>
      </w:r>
      <w:r w:rsidRPr="000C1C4A">
        <w:rPr>
          <w:rFonts w:eastAsia="Calibri" w:cs="Calibri"/>
          <w:szCs w:val="20"/>
        </w:rPr>
        <w:t>"</w:t>
      </w:r>
      <w:r w:rsidRPr="000C1C4A">
        <w:rPr>
          <w:rFonts w:eastAsia="Calibri" w:cs="Calibri"/>
          <w:i/>
          <w:iCs/>
          <w:szCs w:val="20"/>
        </w:rPr>
        <w:t>State of implementation of the United Nations Conventions against Corruption: Criminalization, law enforcement and international cooperation: second edition,</w:t>
      </w:r>
      <w:r w:rsidRPr="000C1C4A">
        <w:rPr>
          <w:rFonts w:eastAsia="Calibri" w:cs="Calibri"/>
          <w:szCs w:val="20"/>
        </w:rPr>
        <w:t xml:space="preserve">" (English, Publishing and Library Section, United Nations Office at Vienna), 2017. </w:t>
      </w:r>
      <w:hyperlink r:id="rId24">
        <w:r w:rsidRPr="000C1C4A">
          <w:rPr>
            <w:rFonts w:eastAsia="Calibri" w:cs="Calibri"/>
            <w:color w:val="1155CC"/>
            <w:szCs w:val="20"/>
            <w:u w:val="single"/>
          </w:rPr>
          <w:t>https://www.unodc.org/documents/treaties/UNCAC/COSP/session7/V.17-04679_E-book.pdf</w:t>
        </w:r>
      </w:hyperlink>
      <w:r w:rsidRPr="000C1C4A">
        <w:rPr>
          <w:rFonts w:eastAsia="Calibri" w:cs="Calibri"/>
          <w:szCs w:val="20"/>
        </w:rPr>
        <w:t xml:space="preserve"> for observations on challenges and best practices on Articles 49 and 50. For evidence from practice showing that the effective use of special investigative techniques has successfully led to the dismantling of major trafficking networks, including corrupt enablers, and contributed to measurable declines in trafficking flows for certain wildlife species, see: Wildlife Justice Commission (WJC). "Disruption and disarray: an analysis of pangolin scale and ivory trafficking, 2015-2024," WJC, 2025. </w:t>
      </w:r>
      <w:hyperlink r:id="rId25">
        <w:r w:rsidRPr="000C1C4A">
          <w:rPr>
            <w:rFonts w:eastAsia="Calibri" w:cs="Calibri"/>
            <w:color w:val="1155CC"/>
            <w:szCs w:val="20"/>
            <w:u w:val="single"/>
          </w:rPr>
          <w:t>https://wildlifejustice.org/wp-content/uploads/2025/04/disruption-and-disarray-report-march-2025-v11-pages.pdf</w:t>
        </w:r>
      </w:hyperlink>
      <w:r w:rsidRPr="000C1C4A">
        <w:rPr>
          <w:rFonts w:eastAsia="Calibri" w:cs="Calibri"/>
          <w:szCs w:val="20"/>
        </w:rPr>
        <w:t xml:space="preserve">; WJC, "Major breakthrough in pangolin trafficking case: corrupt customs officers arrested in Malaysia," WJC, 2023. </w:t>
      </w:r>
      <w:hyperlink r:id="rId26">
        <w:r w:rsidRPr="000C1C4A">
          <w:rPr>
            <w:rFonts w:eastAsia="Calibri" w:cs="Calibri"/>
            <w:color w:val="1155CC"/>
            <w:szCs w:val="20"/>
            <w:u w:val="single"/>
          </w:rPr>
          <w:t>https://wildlifejustice.org/the-malaysian-anti-corruption-commission-targets-an-international-pangolin-scale-trafficking-syndicate-and-corrupt-law-enforcement-with-the-support-of-the-wildlife-justice-commission/</w:t>
        </w:r>
      </w:hyperlink>
      <w:r w:rsidRPr="000C1C4A">
        <w:rPr>
          <w:rFonts w:eastAsia="Calibri" w:cs="Calibri"/>
          <w:szCs w:val="20"/>
        </w:rPr>
        <w:t xml:space="preserve">  </w:t>
      </w:r>
    </w:p>
  </w:footnote>
  <w:footnote w:id="10">
    <w:p w14:paraId="38E64D16" w14:textId="77777777"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eastAsia="Calibri" w:cs="Calibri"/>
          <w:szCs w:val="20"/>
        </w:rPr>
        <w:t xml:space="preserve"> </w:t>
      </w:r>
      <w:r w:rsidRPr="000C1C4A">
        <w:rPr>
          <w:rFonts w:eastAsia="Calibri" w:cs="Calibri"/>
          <w:szCs w:val="20"/>
          <w:highlight w:val="white"/>
        </w:rPr>
        <w:t xml:space="preserve">Sofia Gonzalez, Sophia Cole and Ian Gary, "Dirty money and the destruction of the Amazon," Financial Accountability and Corporate Transparency (FACT) Coalition, 2023. </w:t>
      </w:r>
      <w:hyperlink r:id="rId27">
        <w:r w:rsidRPr="000C1C4A">
          <w:rPr>
            <w:rFonts w:eastAsia="Calibri" w:cs="Calibri"/>
            <w:color w:val="1155CC"/>
            <w:szCs w:val="20"/>
            <w:highlight w:val="white"/>
            <w:u w:val="single"/>
          </w:rPr>
          <w:t>https://thefactcoalition.org/wp-content/uploads/2023/10/Dirty-Money-and-the-Destruction-of-the-Amazon-Full.pdf</w:t>
        </w:r>
      </w:hyperlink>
      <w:r w:rsidRPr="000C1C4A">
        <w:rPr>
          <w:rFonts w:eastAsia="Calibri" w:cs="Calibri"/>
          <w:szCs w:val="20"/>
          <w:highlight w:val="white"/>
        </w:rPr>
        <w:t xml:space="preserve"> which shows how enablers can unintentionally or deliberately assist in laundering proceeds from environmental crimes or in moving illicit funds that finance CAE and climate-related harms; United Nations. "Sevilla Commitment: outcome document adopted at the Fourth International Conference on Financing for Development," A/RES/79/323, 3 July 2025. </w:t>
      </w:r>
      <w:hyperlink r:id="rId28">
        <w:r w:rsidRPr="000C1C4A">
          <w:rPr>
            <w:rFonts w:eastAsia="Calibri" w:cs="Calibri"/>
            <w:color w:val="1155CC"/>
            <w:szCs w:val="20"/>
            <w:highlight w:val="white"/>
            <w:u w:val="single"/>
          </w:rPr>
          <w:t>https://financing.desa.un.org/sites/default/files/2025-11/FFD4%20Outcome%20Booklet%20v5_EN_Digital%205.5x8.5.pdf</w:t>
        </w:r>
      </w:hyperlink>
      <w:r w:rsidRPr="000C1C4A">
        <w:rPr>
          <w:rFonts w:eastAsia="Calibri" w:cs="Calibri"/>
          <w:szCs w:val="20"/>
          <w:highlight w:val="white"/>
        </w:rPr>
        <w:t xml:space="preserve"> which contains a new commitment for regulating professional enablers to address their role in facilitating corruption; Financial Action Task Force (FATF). "International standards on combating money laundering and the financing of terrorism &amp; proliferation: The FATF recommendations," FATF, 2012-2025. </w:t>
      </w:r>
      <w:hyperlink r:id="rId29">
        <w:r w:rsidRPr="000C1C4A">
          <w:rPr>
            <w:rFonts w:eastAsia="Calibri" w:cs="Calibri"/>
            <w:color w:val="1155CC"/>
            <w:szCs w:val="20"/>
            <w:highlight w:val="white"/>
            <w:u w:val="single"/>
          </w:rPr>
          <w:t>https://www.fatf-gafi.org/content/dam/fatf-gafi/recommendations/FATF%20Recommendations%202012.pdf.coredownload.inline.pdf?nocache=true</w:t>
        </w:r>
      </w:hyperlink>
      <w:r w:rsidRPr="000C1C4A">
        <w:rPr>
          <w:rFonts w:eastAsia="Calibri" w:cs="Calibri"/>
          <w:szCs w:val="20"/>
          <w:highlight w:val="white"/>
        </w:rPr>
        <w:t xml:space="preserve">  which require both financial institutions and non-financial businesses and professions (DNFBPs) including lawyers, notaries, other independent legal professionals and accountants, to take measures to mitigate money laundering risks; FATF. "How can private sector help stop money laundering from illegal wildlife trade?," FATF, 2020. </w:t>
      </w:r>
      <w:hyperlink r:id="rId30">
        <w:r w:rsidRPr="000C1C4A">
          <w:rPr>
            <w:rFonts w:eastAsia="Calibri" w:cs="Calibri"/>
            <w:color w:val="1155CC"/>
            <w:szCs w:val="20"/>
            <w:highlight w:val="white"/>
            <w:u w:val="single"/>
          </w:rPr>
          <w:t>https://www.fatf-gafi.org/content/dam/fatf-gafi/brochures/Private-sector-and-iwt.pdf</w:t>
        </w:r>
      </w:hyperlink>
      <w:r w:rsidRPr="000C1C4A">
        <w:rPr>
          <w:rFonts w:eastAsia="Calibri" w:cs="Calibri"/>
          <w:szCs w:val="20"/>
          <w:highlight w:val="white"/>
        </w:rPr>
        <w:t xml:space="preserve">  </w:t>
      </w:r>
    </w:p>
  </w:footnote>
  <w:footnote w:id="11">
    <w:p w14:paraId="76281084" w14:textId="6378C60D"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eastAsia="Calibri" w:cs="Calibri"/>
          <w:szCs w:val="20"/>
        </w:rPr>
        <w:t xml:space="preserve"> Incentives programs for whistleblower tips may also be considered. See: Masaki Iwasaki, "Environmental governance and whistleblower rewards: balancing prosocial motivations with monetary incentives," Law &amp; Social Inquiry, Volume 50, Issue 2 (2025): 468-503. </w:t>
      </w:r>
      <w:hyperlink r:id="rId31">
        <w:r w:rsidRPr="000C1C4A">
          <w:rPr>
            <w:rFonts w:eastAsia="Calibri" w:cs="Calibri"/>
            <w:color w:val="1155CC"/>
            <w:szCs w:val="20"/>
            <w:u w:val="single"/>
          </w:rPr>
          <w:t>https://www.cambridge.org/core/services/aop-cambridge-core/content/view/0250FE9F3B7B484FE2AC80AF620833DC/S0897654625000139a.pdf/div-class-title-environmental-governance-and-whistleblower-rewards-balancing-prosocial-motivations-with-monetary-incentives-div.pdf</w:t>
        </w:r>
      </w:hyperlink>
      <w:r w:rsidR="00DA15AF">
        <w:t>.</w:t>
      </w:r>
      <w:r w:rsidRPr="000C1C4A">
        <w:rPr>
          <w:rFonts w:eastAsia="Calibri" w:cs="Calibri"/>
          <w:szCs w:val="20"/>
        </w:rPr>
        <w:t xml:space="preserve">  </w:t>
      </w:r>
    </w:p>
  </w:footnote>
  <w:footnote w:id="12">
    <w:p w14:paraId="7A0E9BC0" w14:textId="177AF795" w:rsidR="00F13088" w:rsidRPr="000C1C4A" w:rsidRDefault="00F13088" w:rsidP="00F13088">
      <w:pPr>
        <w:spacing w:after="0" w:line="240" w:lineRule="auto"/>
        <w:rPr>
          <w:rFonts w:eastAsia="Calibri" w:cs="Calibri"/>
          <w:szCs w:val="20"/>
        </w:rPr>
      </w:pPr>
      <w:r w:rsidRPr="000C1C4A">
        <w:rPr>
          <w:rFonts w:cs="Calibri"/>
          <w:szCs w:val="20"/>
          <w:vertAlign w:val="superscript"/>
        </w:rPr>
        <w:footnoteRef/>
      </w:r>
      <w:r w:rsidRPr="000C1C4A">
        <w:rPr>
          <w:rFonts w:eastAsia="Calibri" w:cs="Calibri"/>
          <w:szCs w:val="20"/>
        </w:rPr>
        <w:t xml:space="preserve"> World Bank, Green Climate Fund, Transparency International. "2nd Symposium on supranational responses to corruption: integrity in climate finance &amp; action knowledge report," World Bank, GCF and TI, 2024. </w:t>
      </w:r>
      <w:hyperlink r:id="rId32">
        <w:r w:rsidRPr="000C1C4A">
          <w:rPr>
            <w:rFonts w:eastAsia="Calibri" w:cs="Calibri"/>
            <w:color w:val="1155CC"/>
            <w:szCs w:val="20"/>
            <w:u w:val="single"/>
          </w:rPr>
          <w:t>https://www.worldbank.org/content/dam/documents/sanctions/other-documents/2025/may/Knowledge%20Report%20Symposium%20Supranational%20Integrity%20in%20Climate%20Finance.pdf</w:t>
        </w:r>
      </w:hyperlink>
      <w:r w:rsidRPr="000C1C4A">
        <w:rPr>
          <w:rFonts w:eastAsia="Calibri" w:cs="Calibri"/>
          <w:szCs w:val="20"/>
        </w:rPr>
        <w:t xml:space="preserve"> which includes recommendations for reparations to victims and communities suffering from corruption related to climate; Juanita Olaya Garcia, "Reparations for corruption: how corruption enforcement ignores victims' rights," UNCAC Coalition, 2020. </w:t>
      </w:r>
      <w:hyperlink r:id="rId33">
        <w:r w:rsidRPr="000C1C4A">
          <w:rPr>
            <w:rFonts w:eastAsia="Calibri" w:cs="Calibri"/>
            <w:color w:val="1155CC"/>
            <w:szCs w:val="20"/>
            <w:u w:val="single"/>
          </w:rPr>
          <w:t>https://uncaccoalition.org/reparations-for-corruption-how-corruption-enforcement-ignores-victims-rights/</w:t>
        </w:r>
      </w:hyperlink>
      <w:r w:rsidR="00DA15AF">
        <w:t>.</w:t>
      </w:r>
      <w:r w:rsidRPr="000C1C4A">
        <w:rPr>
          <w:rFonts w:eastAsia="Calibri" w:cs="Calibri"/>
          <w:szCs w:val="20"/>
        </w:rPr>
        <w:t xml:space="preserve"> </w:t>
      </w:r>
    </w:p>
  </w:footnote>
  <w:footnote w:id="13">
    <w:p w14:paraId="5EC27781" w14:textId="77777777" w:rsidR="000C1C4A" w:rsidRDefault="000C1C4A" w:rsidP="000C1C4A">
      <w:pPr>
        <w:pStyle w:val="FootnoteText"/>
        <w:spacing w:line="240" w:lineRule="auto"/>
        <w:rPr>
          <w:sz w:val="20"/>
          <w:szCs w:val="20"/>
          <w:lang w:val="en-US"/>
        </w:rPr>
      </w:pPr>
      <w:r w:rsidRPr="000C1C4A">
        <w:rPr>
          <w:rStyle w:val="FootnoteReference"/>
          <w:color w:val="000000" w:themeColor="text1"/>
          <w:szCs w:val="20"/>
        </w:rPr>
        <w:footnoteRef/>
      </w:r>
      <w:r w:rsidRPr="000C1C4A">
        <w:rPr>
          <w:color w:val="000000" w:themeColor="text1"/>
          <w:sz w:val="20"/>
          <w:szCs w:val="20"/>
        </w:rPr>
        <w:t xml:space="preserve">  </w:t>
      </w:r>
      <w:r w:rsidRPr="000C1C4A">
        <w:rPr>
          <w:color w:val="000000" w:themeColor="text1"/>
          <w:sz w:val="20"/>
          <w:szCs w:val="20"/>
          <w:lang w:val="en-US"/>
        </w:rPr>
        <w:t xml:space="preserve">UNCAC </w:t>
      </w:r>
      <w:r w:rsidRPr="000C1C4A">
        <w:rPr>
          <w:sz w:val="20"/>
          <w:szCs w:val="20"/>
          <w:lang w:val="en-US"/>
        </w:rPr>
        <w:t xml:space="preserve">Coalition Working Group on Environmental Crime and Corruption. “Corruption in crimes that affect </w:t>
      </w:r>
    </w:p>
    <w:p w14:paraId="45F800C8" w14:textId="77777777" w:rsidR="00673C2A" w:rsidRDefault="000C1C4A" w:rsidP="000C1C4A">
      <w:pPr>
        <w:pStyle w:val="FootnoteText"/>
        <w:spacing w:line="240" w:lineRule="auto"/>
        <w:rPr>
          <w:sz w:val="20"/>
          <w:szCs w:val="20"/>
          <w:lang w:val="en-US"/>
        </w:rPr>
      </w:pPr>
      <w:r w:rsidRPr="000C1C4A">
        <w:rPr>
          <w:sz w:val="20"/>
          <w:szCs w:val="20"/>
          <w:lang w:val="en-US"/>
        </w:rPr>
        <w:t xml:space="preserve">the environment: A compendium of existing gaps and practices,” </w:t>
      </w:r>
      <w:r w:rsidR="00DA15AF">
        <w:rPr>
          <w:sz w:val="20"/>
          <w:szCs w:val="20"/>
          <w:lang w:val="en-US"/>
        </w:rPr>
        <w:t xml:space="preserve">UNCAC Coalition, </w:t>
      </w:r>
      <w:r w:rsidRPr="000C1C4A">
        <w:rPr>
          <w:sz w:val="20"/>
          <w:szCs w:val="20"/>
          <w:lang w:val="en-US"/>
        </w:rPr>
        <w:t xml:space="preserve">accessed on 21 November </w:t>
      </w:r>
    </w:p>
    <w:p w14:paraId="259E9042" w14:textId="45F05461" w:rsidR="000C1C4A" w:rsidRPr="000C1C4A" w:rsidRDefault="000C1C4A" w:rsidP="00673C2A">
      <w:pPr>
        <w:pStyle w:val="FootnoteText"/>
        <w:spacing w:line="240" w:lineRule="auto"/>
        <w:rPr>
          <w:sz w:val="20"/>
          <w:szCs w:val="20"/>
          <w:lang w:val="en-US"/>
        </w:rPr>
      </w:pPr>
      <w:r w:rsidRPr="000C1C4A">
        <w:rPr>
          <w:sz w:val="20"/>
          <w:szCs w:val="20"/>
          <w:lang w:val="en-US"/>
        </w:rPr>
        <w:t xml:space="preserve">2025. </w:t>
      </w:r>
      <w:r w:rsidR="00673C2A" w:rsidRPr="00673C2A">
        <w:rPr>
          <w:color w:val="0070C0"/>
          <w:sz w:val="20"/>
          <w:szCs w:val="20"/>
          <w:u w:val="single"/>
          <w:lang w:val="en-US"/>
        </w:rPr>
        <w:fldChar w:fldCharType="begin"/>
      </w:r>
      <w:r w:rsidR="00673C2A" w:rsidRPr="00673C2A">
        <w:rPr>
          <w:color w:val="0070C0"/>
          <w:sz w:val="20"/>
          <w:szCs w:val="20"/>
          <w:u w:val="single"/>
          <w:lang w:val="en-US"/>
        </w:rPr>
        <w:instrText>HYPERLINK "https://uncaccoalition.org/corruption-in-crimes-that-affect-the-environment-and-climate/"</w:instrText>
      </w:r>
      <w:r w:rsidR="00673C2A" w:rsidRPr="00673C2A">
        <w:rPr>
          <w:color w:val="0070C0"/>
          <w:sz w:val="20"/>
          <w:szCs w:val="20"/>
          <w:u w:val="single"/>
          <w:lang w:val="en-US"/>
        </w:rPr>
        <w:fldChar w:fldCharType="separate"/>
      </w:r>
      <w:r w:rsidR="00673C2A" w:rsidRPr="00673C2A">
        <w:rPr>
          <w:rStyle w:val="Hyperlink"/>
          <w:sz w:val="20"/>
          <w:szCs w:val="20"/>
          <w:u w:val="single"/>
          <w:lang w:val="en-US"/>
        </w:rPr>
        <w:t>https://uncaccoalition.org/corruption-in-crimes-th</w:t>
      </w:r>
      <w:r w:rsidR="00673C2A" w:rsidRPr="00673C2A">
        <w:rPr>
          <w:rStyle w:val="Hyperlink"/>
          <w:sz w:val="20"/>
          <w:szCs w:val="20"/>
          <w:u w:val="single"/>
          <w:lang w:val="en-US"/>
        </w:rPr>
        <w:t>a</w:t>
      </w:r>
      <w:r w:rsidR="00673C2A" w:rsidRPr="00673C2A">
        <w:rPr>
          <w:rStyle w:val="Hyperlink"/>
          <w:sz w:val="20"/>
          <w:szCs w:val="20"/>
          <w:u w:val="single"/>
          <w:lang w:val="en-US"/>
        </w:rPr>
        <w:t>t-affect-the-environment-and-climate/</w:t>
      </w:r>
      <w:r w:rsidR="00673C2A" w:rsidRPr="00673C2A">
        <w:rPr>
          <w:color w:val="0070C0"/>
          <w:sz w:val="20"/>
          <w:szCs w:val="20"/>
          <w:u w:val="single"/>
          <w:lang w:val="en-US"/>
        </w:rPr>
        <w:fldChar w:fldCharType="end"/>
      </w:r>
      <w:r w:rsidRPr="00673C2A">
        <w:rPr>
          <w:color w:val="0070C0"/>
          <w:sz w:val="20"/>
          <w:szCs w:val="20"/>
          <w:u w:val="single"/>
          <w:lang w:val="en-US"/>
        </w:rPr>
        <w:t>.</w:t>
      </w:r>
      <w:r w:rsidRPr="00673C2A">
        <w:rPr>
          <w:color w:val="0070C0"/>
          <w:sz w:val="20"/>
          <w:szCs w:val="20"/>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E2D" w14:textId="1A117018" w:rsidR="00D7094D" w:rsidRDefault="00000000">
    <w:pPr>
      <w:pStyle w:val="Header"/>
    </w:pPr>
    <w:sdt>
      <w:sdtPr>
        <w:alias w:val="Title"/>
        <w:tag w:val=""/>
        <w:id w:val="-1611743474"/>
        <w:dataBinding w:prefixMappings="xmlns:ns0='http://purl.org/dc/elements/1.1/' xmlns:ns1='http://schemas.openxmlformats.org/package/2006/metadata/core-properties' " w:xpath="/ns1:coreProperties[1]/ns0:title[1]" w:storeItemID="{6C3C8BC8-F283-45AE-878A-BAB7291924A1}"/>
        <w:text/>
      </w:sdtPr>
      <w:sdtContent>
        <w:r w:rsidR="00132DC8">
          <w:t>Strengthening the UNCAC to confront environmental crime and                       the climate crisis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77BA" w14:textId="3EA50264" w:rsidR="00F939EF" w:rsidRDefault="00F939EF" w:rsidP="00D7094D"/>
  <w:p w14:paraId="10A2E710" w14:textId="2AF59223" w:rsidR="00DC7619" w:rsidRDefault="00EE615C" w:rsidP="00EE615C">
    <w:r>
      <w:rPr>
        <w:noProof/>
        <w14:ligatures w14:val="none"/>
        <w14:numForm w14:val="default"/>
        <w14:numSpacing w14:val="default"/>
        <w14:cntxtAlts w14:val="0"/>
      </w:rPr>
      <w:drawing>
        <wp:inline distT="0" distB="0" distL="0" distR="0" wp14:anchorId="5CAD716A" wp14:editId="077B9451">
          <wp:extent cx="2513251" cy="606176"/>
          <wp:effectExtent l="0" t="0" r="1905" b="3810"/>
          <wp:docPr id="2058949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49149" name="Picture 2058949149"/>
                  <pic:cNvPicPr/>
                </pic:nvPicPr>
                <pic:blipFill>
                  <a:blip r:embed="rId1">
                    <a:extLst>
                      <a:ext uri="{28A0092B-C50C-407E-A947-70E740481C1C}">
                        <a14:useLocalDpi xmlns:a14="http://schemas.microsoft.com/office/drawing/2010/main" val="0"/>
                      </a:ext>
                    </a:extLst>
                  </a:blip>
                  <a:stretch>
                    <a:fillRect/>
                  </a:stretch>
                </pic:blipFill>
                <pic:spPr>
                  <a:xfrm>
                    <a:off x="0" y="0"/>
                    <a:ext cx="2560841" cy="617654"/>
                  </a:xfrm>
                  <a:prstGeom prst="rect">
                    <a:avLst/>
                  </a:prstGeom>
                </pic:spPr>
              </pic:pic>
            </a:graphicData>
          </a:graphic>
        </wp:inline>
      </w:drawing>
    </w:r>
  </w:p>
  <w:p w14:paraId="40B98C56" w14:textId="77777777" w:rsidR="003F0494" w:rsidRDefault="003F0494" w:rsidP="00DC7619">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C65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52F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4CE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4E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4A2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524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0AB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70C7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30E3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C48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540B0"/>
    <w:multiLevelType w:val="multilevel"/>
    <w:tmpl w:val="A2B81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35C1C50"/>
    <w:multiLevelType w:val="multilevel"/>
    <w:tmpl w:val="9A16A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1848E8"/>
    <w:multiLevelType w:val="multilevel"/>
    <w:tmpl w:val="5D060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B520530"/>
    <w:multiLevelType w:val="hybridMultilevel"/>
    <w:tmpl w:val="54F6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633F3F"/>
    <w:multiLevelType w:val="multilevel"/>
    <w:tmpl w:val="CF14D2EC"/>
    <w:numStyleLink w:val="UnorderedList"/>
  </w:abstractNum>
  <w:abstractNum w:abstractNumId="15" w15:restartNumberingAfterBreak="0">
    <w:nsid w:val="11773DB0"/>
    <w:multiLevelType w:val="multilevel"/>
    <w:tmpl w:val="88C8FA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1912A2A"/>
    <w:multiLevelType w:val="multilevel"/>
    <w:tmpl w:val="A5541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23E1732"/>
    <w:multiLevelType w:val="multilevel"/>
    <w:tmpl w:val="1F00C5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43E5593"/>
    <w:multiLevelType w:val="multilevel"/>
    <w:tmpl w:val="7D3A9DA2"/>
    <w:lvl w:ilvl="0">
      <w:start w:val="1"/>
      <w:numFmt w:val="bullet"/>
      <w:pStyle w:val="ListBullet"/>
      <w:lvlText w:val=""/>
      <w:lvlJc w:val="left"/>
      <w:pPr>
        <w:ind w:left="340" w:hanging="340"/>
      </w:pPr>
      <w:rPr>
        <w:rFonts w:ascii="Symbol" w:hAnsi="Symbol" w:hint="default"/>
      </w:rPr>
    </w:lvl>
    <w:lvl w:ilvl="1">
      <w:start w:val="1"/>
      <w:numFmt w:val="bullet"/>
      <w:pStyle w:val="ListBullet2"/>
      <w:lvlText w:val="o"/>
      <w:lvlJc w:val="left"/>
      <w:pPr>
        <w:ind w:left="907" w:hanging="340"/>
      </w:pPr>
      <w:rPr>
        <w:rFonts w:ascii="Courier New" w:hAnsi="Courier New" w:cs="Courier New" w:hint="default"/>
      </w:rPr>
    </w:lvl>
    <w:lvl w:ilvl="2">
      <w:start w:val="1"/>
      <w:numFmt w:val="bullet"/>
      <w:pStyle w:val="ListBullet3"/>
      <w:lvlText w:val=""/>
      <w:lvlJc w:val="left"/>
      <w:pPr>
        <w:ind w:left="1474" w:hanging="340"/>
      </w:pPr>
      <w:rPr>
        <w:rFonts w:ascii="Wingdings" w:hAnsi="Wingdings" w:hint="default"/>
      </w:rPr>
    </w:lvl>
    <w:lvl w:ilvl="3">
      <w:start w:val="1"/>
      <w:numFmt w:val="bullet"/>
      <w:pStyle w:val="ListBullet4"/>
      <w:lvlText w:val=""/>
      <w:lvlJc w:val="left"/>
      <w:pPr>
        <w:ind w:left="2041" w:hanging="340"/>
      </w:pPr>
      <w:rPr>
        <w:rFonts w:ascii="Symbol" w:hAnsi="Symbol" w:hint="default"/>
      </w:rPr>
    </w:lvl>
    <w:lvl w:ilvl="4">
      <w:start w:val="1"/>
      <w:numFmt w:val="bullet"/>
      <w:pStyle w:val="ListBullet5"/>
      <w:lvlText w:val="o"/>
      <w:lvlJc w:val="left"/>
      <w:pPr>
        <w:ind w:left="2608" w:hanging="340"/>
      </w:pPr>
      <w:rPr>
        <w:rFonts w:ascii="Courier New" w:hAnsi="Courier New" w:cs="Courier New" w:hint="default"/>
      </w:rPr>
    </w:lvl>
    <w:lvl w:ilvl="5">
      <w:start w:val="1"/>
      <w:numFmt w:val="bullet"/>
      <w:lvlText w:val=""/>
      <w:lvlJc w:val="left"/>
      <w:pPr>
        <w:ind w:left="3175" w:hanging="340"/>
      </w:pPr>
      <w:rPr>
        <w:rFonts w:ascii="Wingdings" w:hAnsi="Wingdings" w:hint="default"/>
      </w:rPr>
    </w:lvl>
    <w:lvl w:ilvl="6">
      <w:start w:val="1"/>
      <w:numFmt w:val="bullet"/>
      <w:lvlText w:val=""/>
      <w:lvlJc w:val="left"/>
      <w:pPr>
        <w:ind w:left="3742" w:hanging="340"/>
      </w:pPr>
      <w:rPr>
        <w:rFonts w:ascii="Symbol" w:hAnsi="Symbol" w:hint="default"/>
      </w:rPr>
    </w:lvl>
    <w:lvl w:ilvl="7">
      <w:start w:val="1"/>
      <w:numFmt w:val="bullet"/>
      <w:lvlText w:val="o"/>
      <w:lvlJc w:val="left"/>
      <w:pPr>
        <w:ind w:left="4309" w:hanging="340"/>
      </w:pPr>
      <w:rPr>
        <w:rFonts w:ascii="Courier New" w:hAnsi="Courier New" w:cs="Courier New" w:hint="default"/>
      </w:rPr>
    </w:lvl>
    <w:lvl w:ilvl="8">
      <w:start w:val="1"/>
      <w:numFmt w:val="bullet"/>
      <w:lvlText w:val=""/>
      <w:lvlJc w:val="left"/>
      <w:pPr>
        <w:ind w:left="4876" w:hanging="340"/>
      </w:pPr>
      <w:rPr>
        <w:rFonts w:ascii="Wingdings" w:hAnsi="Wingdings" w:hint="default"/>
      </w:rPr>
    </w:lvl>
  </w:abstractNum>
  <w:abstractNum w:abstractNumId="19" w15:restartNumberingAfterBreak="0">
    <w:nsid w:val="14401850"/>
    <w:multiLevelType w:val="multilevel"/>
    <w:tmpl w:val="E5CC67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155344EF"/>
    <w:multiLevelType w:val="multilevel"/>
    <w:tmpl w:val="B920A6A8"/>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1" w15:restartNumberingAfterBreak="0">
    <w:nsid w:val="15742AD9"/>
    <w:multiLevelType w:val="multilevel"/>
    <w:tmpl w:val="CF14D2EC"/>
    <w:numStyleLink w:val="UnorderedList"/>
  </w:abstractNum>
  <w:abstractNum w:abstractNumId="22" w15:restartNumberingAfterBreak="0">
    <w:nsid w:val="15825B64"/>
    <w:multiLevelType w:val="multilevel"/>
    <w:tmpl w:val="96886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EE537E"/>
    <w:multiLevelType w:val="multilevel"/>
    <w:tmpl w:val="BA109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D137A2"/>
    <w:multiLevelType w:val="multilevel"/>
    <w:tmpl w:val="FC0266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04C39D7"/>
    <w:multiLevelType w:val="multilevel"/>
    <w:tmpl w:val="4C12E7D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1DC3B1D"/>
    <w:multiLevelType w:val="multilevel"/>
    <w:tmpl w:val="B920A6A8"/>
    <w:lvl w:ilvl="0">
      <w:start w:val="1"/>
      <w:numFmt w:val="decimal"/>
      <w:pStyle w:val="ListNumber"/>
      <w:lvlText w:val="%1."/>
      <w:lvlJc w:val="left"/>
      <w:pPr>
        <w:ind w:left="567" w:hanging="340"/>
      </w:pPr>
      <w:rPr>
        <w:rFonts w:hint="default"/>
      </w:rPr>
    </w:lvl>
    <w:lvl w:ilvl="1">
      <w:start w:val="1"/>
      <w:numFmt w:val="lowerLetter"/>
      <w:pStyle w:val="ListNumber2"/>
      <w:lvlText w:val="%2."/>
      <w:lvlJc w:val="left"/>
      <w:pPr>
        <w:ind w:left="1134" w:hanging="340"/>
      </w:pPr>
      <w:rPr>
        <w:rFonts w:hint="default"/>
      </w:rPr>
    </w:lvl>
    <w:lvl w:ilvl="2">
      <w:start w:val="1"/>
      <w:numFmt w:val="lowerRoman"/>
      <w:pStyle w:val="ListNumber3"/>
      <w:lvlText w:val="%3."/>
      <w:lvlJc w:val="left"/>
      <w:pPr>
        <w:ind w:left="1701" w:hanging="340"/>
      </w:pPr>
      <w:rPr>
        <w:rFonts w:hint="default"/>
      </w:rPr>
    </w:lvl>
    <w:lvl w:ilvl="3">
      <w:start w:val="1"/>
      <w:numFmt w:val="decimal"/>
      <w:pStyle w:val="ListNumber4"/>
      <w:lvlText w:val="%4."/>
      <w:lvlJc w:val="left"/>
      <w:pPr>
        <w:ind w:left="2268" w:hanging="340"/>
      </w:pPr>
      <w:rPr>
        <w:rFonts w:hint="default"/>
      </w:rPr>
    </w:lvl>
    <w:lvl w:ilvl="4">
      <w:start w:val="1"/>
      <w:numFmt w:val="lowerLetter"/>
      <w:pStyle w:val="ListNumber5"/>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7" w15:restartNumberingAfterBreak="0">
    <w:nsid w:val="22391165"/>
    <w:multiLevelType w:val="hybridMultilevel"/>
    <w:tmpl w:val="1194A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5AE2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6BA74E2"/>
    <w:multiLevelType w:val="multilevel"/>
    <w:tmpl w:val="B64E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6F07302"/>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8173711"/>
    <w:multiLevelType w:val="multilevel"/>
    <w:tmpl w:val="B07E7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998613A"/>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C852241"/>
    <w:multiLevelType w:val="multilevel"/>
    <w:tmpl w:val="9B7C8FD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4" w15:restartNumberingAfterBreak="0">
    <w:nsid w:val="31EC6563"/>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36C79D1"/>
    <w:multiLevelType w:val="hybridMultilevel"/>
    <w:tmpl w:val="3CA4D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59B4393"/>
    <w:multiLevelType w:val="hybridMultilevel"/>
    <w:tmpl w:val="259AE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BE7E87"/>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8" w15:restartNumberingAfterBreak="0">
    <w:nsid w:val="36202BF2"/>
    <w:multiLevelType w:val="multilevel"/>
    <w:tmpl w:val="2F16E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83C2101"/>
    <w:multiLevelType w:val="multilevel"/>
    <w:tmpl w:val="CF14D2EC"/>
    <w:numStyleLink w:val="UnorderedList"/>
  </w:abstractNum>
  <w:abstractNum w:abstractNumId="40" w15:restartNumberingAfterBreak="0">
    <w:nsid w:val="387D5039"/>
    <w:multiLevelType w:val="multilevel"/>
    <w:tmpl w:val="CF14D2EC"/>
    <w:styleLink w:val="UnorderedList"/>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41" w15:restartNumberingAfterBreak="0">
    <w:nsid w:val="3B4F7BF7"/>
    <w:multiLevelType w:val="multilevel"/>
    <w:tmpl w:val="86829178"/>
    <w:styleLink w:val="OrderedList"/>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42" w15:restartNumberingAfterBreak="0">
    <w:nsid w:val="44AF323A"/>
    <w:multiLevelType w:val="hybridMultilevel"/>
    <w:tmpl w:val="322420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514415F"/>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44" w15:restartNumberingAfterBreak="0">
    <w:nsid w:val="4A2958EF"/>
    <w:multiLevelType w:val="multilevel"/>
    <w:tmpl w:val="CF14D2EC"/>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45" w15:restartNumberingAfterBreak="0">
    <w:nsid w:val="4A653A05"/>
    <w:multiLevelType w:val="multilevel"/>
    <w:tmpl w:val="465217D4"/>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46" w15:restartNumberingAfterBreak="0">
    <w:nsid w:val="502F6218"/>
    <w:multiLevelType w:val="multilevel"/>
    <w:tmpl w:val="CF14D2EC"/>
    <w:numStyleLink w:val="UnorderedList"/>
  </w:abstractNum>
  <w:abstractNum w:abstractNumId="47" w15:restartNumberingAfterBreak="0">
    <w:nsid w:val="5C1855BF"/>
    <w:multiLevelType w:val="multilevel"/>
    <w:tmpl w:val="99A26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613A3F18"/>
    <w:multiLevelType w:val="multilevel"/>
    <w:tmpl w:val="C2BAE3D2"/>
    <w:lvl w:ilvl="0">
      <w:start w:val="1"/>
      <w:numFmt w:val="bullet"/>
      <w:lvlText w:val=""/>
      <w:lvlJc w:val="left"/>
      <w:pPr>
        <w:ind w:left="567" w:hanging="340"/>
      </w:pPr>
      <w:rPr>
        <w:rFonts w:ascii="Symbol" w:hAnsi="Symbol" w:hint="default"/>
      </w:rPr>
    </w:lvl>
    <w:lvl w:ilvl="1">
      <w:start w:val="1"/>
      <w:numFmt w:val="bullet"/>
      <w:lvlText w:val="o"/>
      <w:lvlJc w:val="left"/>
      <w:pPr>
        <w:ind w:left="1134" w:hanging="340"/>
      </w:pPr>
      <w:rPr>
        <w:rFonts w:ascii="Courier New" w:hAnsi="Courier New" w:cs="Courier New" w:hint="default"/>
      </w:rPr>
    </w:lvl>
    <w:lvl w:ilvl="2">
      <w:start w:val="1"/>
      <w:numFmt w:val="bullet"/>
      <w:lvlText w:val=""/>
      <w:lvlJc w:val="left"/>
      <w:pPr>
        <w:ind w:left="1701" w:hanging="340"/>
      </w:pPr>
      <w:rPr>
        <w:rFonts w:ascii="Wingdings" w:hAnsi="Wingdings" w:hint="default"/>
      </w:rPr>
    </w:lvl>
    <w:lvl w:ilvl="3">
      <w:start w:val="1"/>
      <w:numFmt w:val="bullet"/>
      <w:lvlText w:val=""/>
      <w:lvlJc w:val="left"/>
      <w:pPr>
        <w:ind w:left="2268" w:hanging="340"/>
      </w:pPr>
      <w:rPr>
        <w:rFonts w:ascii="Symbol" w:hAnsi="Symbol" w:hint="default"/>
      </w:rPr>
    </w:lvl>
    <w:lvl w:ilvl="4">
      <w:start w:val="1"/>
      <w:numFmt w:val="bullet"/>
      <w:lvlText w:val="o"/>
      <w:lvlJc w:val="left"/>
      <w:pPr>
        <w:ind w:left="2835" w:hanging="340"/>
      </w:pPr>
      <w:rPr>
        <w:rFonts w:ascii="Courier New" w:hAnsi="Courier New" w:cs="Courier New" w:hint="default"/>
      </w:rPr>
    </w:lvl>
    <w:lvl w:ilvl="5">
      <w:start w:val="1"/>
      <w:numFmt w:val="bullet"/>
      <w:lvlText w:val=""/>
      <w:lvlJc w:val="left"/>
      <w:pPr>
        <w:ind w:left="3402" w:hanging="340"/>
      </w:pPr>
      <w:rPr>
        <w:rFonts w:ascii="Wingdings" w:hAnsi="Wingdings" w:hint="default"/>
      </w:rPr>
    </w:lvl>
    <w:lvl w:ilvl="6">
      <w:start w:val="1"/>
      <w:numFmt w:val="bullet"/>
      <w:lvlText w:val=""/>
      <w:lvlJc w:val="left"/>
      <w:pPr>
        <w:ind w:left="3969" w:hanging="340"/>
      </w:pPr>
      <w:rPr>
        <w:rFonts w:ascii="Symbol" w:hAnsi="Symbol" w:hint="default"/>
      </w:rPr>
    </w:lvl>
    <w:lvl w:ilvl="7">
      <w:start w:val="1"/>
      <w:numFmt w:val="bullet"/>
      <w:lvlText w:val="o"/>
      <w:lvlJc w:val="left"/>
      <w:pPr>
        <w:ind w:left="4536" w:hanging="340"/>
      </w:pPr>
      <w:rPr>
        <w:rFonts w:ascii="Courier New" w:hAnsi="Courier New" w:cs="Courier New" w:hint="default"/>
      </w:rPr>
    </w:lvl>
    <w:lvl w:ilvl="8">
      <w:start w:val="1"/>
      <w:numFmt w:val="bullet"/>
      <w:lvlText w:val=""/>
      <w:lvlJc w:val="left"/>
      <w:pPr>
        <w:ind w:left="5103" w:hanging="340"/>
      </w:pPr>
      <w:rPr>
        <w:rFonts w:ascii="Wingdings" w:hAnsi="Wingdings" w:hint="default"/>
      </w:rPr>
    </w:lvl>
  </w:abstractNum>
  <w:abstractNum w:abstractNumId="49" w15:restartNumberingAfterBreak="0">
    <w:nsid w:val="65EF5EF1"/>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64D757A"/>
    <w:multiLevelType w:val="hybridMultilevel"/>
    <w:tmpl w:val="94A87580"/>
    <w:lvl w:ilvl="0" w:tplc="7EF87032">
      <w:start w:val="1"/>
      <w:numFmt w:val="bullet"/>
      <w:lvlText w:val=""/>
      <w:lvlJc w:val="left"/>
      <w:pPr>
        <w:ind w:left="5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1" w15:restartNumberingAfterBreak="0">
    <w:nsid w:val="71FC189D"/>
    <w:multiLevelType w:val="multilevel"/>
    <w:tmpl w:val="E2684B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75337862"/>
    <w:multiLevelType w:val="multilevel"/>
    <w:tmpl w:val="86829178"/>
    <w:numStyleLink w:val="OrderedList"/>
  </w:abstractNum>
  <w:abstractNum w:abstractNumId="53" w15:restartNumberingAfterBreak="0">
    <w:nsid w:val="760168B7"/>
    <w:multiLevelType w:val="multilevel"/>
    <w:tmpl w:val="1AF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B953C3"/>
    <w:multiLevelType w:val="hybridMultilevel"/>
    <w:tmpl w:val="3EF837A2"/>
    <w:lvl w:ilvl="0" w:tplc="5F2CA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0F1FBE"/>
    <w:multiLevelType w:val="multilevel"/>
    <w:tmpl w:val="C96A62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7BFD746F"/>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012672">
    <w:abstractNumId w:val="9"/>
  </w:num>
  <w:num w:numId="2" w16cid:durableId="1807430742">
    <w:abstractNumId w:val="7"/>
  </w:num>
  <w:num w:numId="3" w16cid:durableId="952129819">
    <w:abstractNumId w:val="6"/>
  </w:num>
  <w:num w:numId="4" w16cid:durableId="1567062258">
    <w:abstractNumId w:val="5"/>
  </w:num>
  <w:num w:numId="5" w16cid:durableId="628165751">
    <w:abstractNumId w:val="4"/>
  </w:num>
  <w:num w:numId="6" w16cid:durableId="127205612">
    <w:abstractNumId w:val="8"/>
  </w:num>
  <w:num w:numId="7" w16cid:durableId="1720396538">
    <w:abstractNumId w:val="3"/>
  </w:num>
  <w:num w:numId="8" w16cid:durableId="111675516">
    <w:abstractNumId w:val="2"/>
  </w:num>
  <w:num w:numId="9" w16cid:durableId="680350625">
    <w:abstractNumId w:val="1"/>
  </w:num>
  <w:num w:numId="10" w16cid:durableId="1612395721">
    <w:abstractNumId w:val="0"/>
  </w:num>
  <w:num w:numId="11" w16cid:durableId="1432167919">
    <w:abstractNumId w:val="50"/>
  </w:num>
  <w:num w:numId="12" w16cid:durableId="1331719821">
    <w:abstractNumId w:val="48"/>
  </w:num>
  <w:num w:numId="13" w16cid:durableId="861482384">
    <w:abstractNumId w:val="18"/>
  </w:num>
  <w:num w:numId="14" w16cid:durableId="582106439">
    <w:abstractNumId w:val="26"/>
  </w:num>
  <w:num w:numId="15" w16cid:durableId="1865901707">
    <w:abstractNumId w:val="54"/>
  </w:num>
  <w:num w:numId="16" w16cid:durableId="556206249">
    <w:abstractNumId w:val="20"/>
  </w:num>
  <w:num w:numId="17" w16cid:durableId="1095858497">
    <w:abstractNumId w:val="28"/>
  </w:num>
  <w:num w:numId="18" w16cid:durableId="1365207615">
    <w:abstractNumId w:val="45"/>
  </w:num>
  <w:num w:numId="19" w16cid:durableId="5523522">
    <w:abstractNumId w:val="27"/>
  </w:num>
  <w:num w:numId="20" w16cid:durableId="74936745">
    <w:abstractNumId w:val="37"/>
  </w:num>
  <w:num w:numId="21" w16cid:durableId="2135323401">
    <w:abstractNumId w:val="23"/>
  </w:num>
  <w:num w:numId="22" w16cid:durableId="853154570">
    <w:abstractNumId w:val="43"/>
  </w:num>
  <w:num w:numId="23" w16cid:durableId="1255749161">
    <w:abstractNumId w:val="13"/>
  </w:num>
  <w:num w:numId="24" w16cid:durableId="1991522804">
    <w:abstractNumId w:val="44"/>
  </w:num>
  <w:num w:numId="25" w16cid:durableId="336814518">
    <w:abstractNumId w:val="41"/>
  </w:num>
  <w:num w:numId="26" w16cid:durableId="1258832564">
    <w:abstractNumId w:val="52"/>
  </w:num>
  <w:num w:numId="27" w16cid:durableId="1795757561">
    <w:abstractNumId w:val="40"/>
  </w:num>
  <w:num w:numId="28" w16cid:durableId="1083455516">
    <w:abstractNumId w:val="46"/>
  </w:num>
  <w:num w:numId="29" w16cid:durableId="1833836052">
    <w:abstractNumId w:val="36"/>
  </w:num>
  <w:num w:numId="30" w16cid:durableId="1973362261">
    <w:abstractNumId w:val="39"/>
  </w:num>
  <w:num w:numId="31" w16cid:durableId="1164590978">
    <w:abstractNumId w:val="39"/>
  </w:num>
  <w:num w:numId="32" w16cid:durableId="1232275561">
    <w:abstractNumId w:val="39"/>
  </w:num>
  <w:num w:numId="33" w16cid:durableId="1476289710">
    <w:abstractNumId w:val="11"/>
  </w:num>
  <w:num w:numId="34" w16cid:durableId="1086881597">
    <w:abstractNumId w:val="14"/>
  </w:num>
  <w:num w:numId="35" w16cid:durableId="83765988">
    <w:abstractNumId w:val="21"/>
  </w:num>
  <w:num w:numId="36" w16cid:durableId="930092454">
    <w:abstractNumId w:val="30"/>
  </w:num>
  <w:num w:numId="37" w16cid:durableId="2082091494">
    <w:abstractNumId w:val="56"/>
  </w:num>
  <w:num w:numId="38" w16cid:durableId="188106140">
    <w:abstractNumId w:val="34"/>
  </w:num>
  <w:num w:numId="39" w16cid:durableId="424307685">
    <w:abstractNumId w:val="49"/>
  </w:num>
  <w:num w:numId="40" w16cid:durableId="755515199">
    <w:abstractNumId w:val="32"/>
  </w:num>
  <w:num w:numId="41" w16cid:durableId="1372538445">
    <w:abstractNumId w:val="33"/>
  </w:num>
  <w:num w:numId="42" w16cid:durableId="141584957">
    <w:abstractNumId w:val="51"/>
  </w:num>
  <w:num w:numId="43" w16cid:durableId="355161668">
    <w:abstractNumId w:val="55"/>
  </w:num>
  <w:num w:numId="44" w16cid:durableId="1685476416">
    <w:abstractNumId w:val="19"/>
  </w:num>
  <w:num w:numId="45" w16cid:durableId="805779541">
    <w:abstractNumId w:val="12"/>
  </w:num>
  <w:num w:numId="46" w16cid:durableId="496389445">
    <w:abstractNumId w:val="16"/>
  </w:num>
  <w:num w:numId="47" w16cid:durableId="1786658851">
    <w:abstractNumId w:val="17"/>
  </w:num>
  <w:num w:numId="48" w16cid:durableId="897016814">
    <w:abstractNumId w:val="47"/>
  </w:num>
  <w:num w:numId="49" w16cid:durableId="1183402658">
    <w:abstractNumId w:val="29"/>
  </w:num>
  <w:num w:numId="50" w16cid:durableId="1602907311">
    <w:abstractNumId w:val="15"/>
  </w:num>
  <w:num w:numId="51" w16cid:durableId="697513463">
    <w:abstractNumId w:val="31"/>
  </w:num>
  <w:num w:numId="52" w16cid:durableId="1591770747">
    <w:abstractNumId w:val="25"/>
  </w:num>
  <w:num w:numId="53" w16cid:durableId="238174901">
    <w:abstractNumId w:val="53"/>
  </w:num>
  <w:num w:numId="54" w16cid:durableId="186917277">
    <w:abstractNumId w:val="42"/>
  </w:num>
  <w:num w:numId="55" w16cid:durableId="1643651983">
    <w:abstractNumId w:val="22"/>
  </w:num>
  <w:num w:numId="56" w16cid:durableId="1943879514">
    <w:abstractNumId w:val="35"/>
  </w:num>
  <w:num w:numId="57" w16cid:durableId="690495323">
    <w:abstractNumId w:val="38"/>
  </w:num>
  <w:num w:numId="58" w16cid:durableId="1709526553">
    <w:abstractNumId w:val="10"/>
  </w:num>
  <w:num w:numId="59" w16cid:durableId="109682866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DD"/>
    <w:rsid w:val="00041907"/>
    <w:rsid w:val="000631F4"/>
    <w:rsid w:val="000A4D29"/>
    <w:rsid w:val="000A6849"/>
    <w:rsid w:val="000C1C4A"/>
    <w:rsid w:val="000D01A1"/>
    <w:rsid w:val="000E1194"/>
    <w:rsid w:val="00112F39"/>
    <w:rsid w:val="00132DC8"/>
    <w:rsid w:val="00152CC4"/>
    <w:rsid w:val="00155435"/>
    <w:rsid w:val="001574DB"/>
    <w:rsid w:val="00175D6D"/>
    <w:rsid w:val="001B2B6A"/>
    <w:rsid w:val="001D78E5"/>
    <w:rsid w:val="00210F83"/>
    <w:rsid w:val="00227A8E"/>
    <w:rsid w:val="00227F89"/>
    <w:rsid w:val="002328DD"/>
    <w:rsid w:val="002340F0"/>
    <w:rsid w:val="0024649C"/>
    <w:rsid w:val="00263602"/>
    <w:rsid w:val="002A000E"/>
    <w:rsid w:val="002C0E68"/>
    <w:rsid w:val="00311C5E"/>
    <w:rsid w:val="00341FA0"/>
    <w:rsid w:val="00367645"/>
    <w:rsid w:val="003F0494"/>
    <w:rsid w:val="003F4B7C"/>
    <w:rsid w:val="0046097D"/>
    <w:rsid w:val="0049040C"/>
    <w:rsid w:val="004B0922"/>
    <w:rsid w:val="004C120F"/>
    <w:rsid w:val="004C76FA"/>
    <w:rsid w:val="004D2156"/>
    <w:rsid w:val="00511E46"/>
    <w:rsid w:val="005424C3"/>
    <w:rsid w:val="00581DE3"/>
    <w:rsid w:val="005B7B99"/>
    <w:rsid w:val="005D3342"/>
    <w:rsid w:val="005F2597"/>
    <w:rsid w:val="005F6BCF"/>
    <w:rsid w:val="006030BC"/>
    <w:rsid w:val="00606825"/>
    <w:rsid w:val="00634AA4"/>
    <w:rsid w:val="0064600C"/>
    <w:rsid w:val="00673C2A"/>
    <w:rsid w:val="006B1240"/>
    <w:rsid w:val="006C5766"/>
    <w:rsid w:val="006C7FF8"/>
    <w:rsid w:val="006D577B"/>
    <w:rsid w:val="0071751D"/>
    <w:rsid w:val="0074030F"/>
    <w:rsid w:val="007A7570"/>
    <w:rsid w:val="007E32E7"/>
    <w:rsid w:val="00813205"/>
    <w:rsid w:val="00844A15"/>
    <w:rsid w:val="0088609C"/>
    <w:rsid w:val="00895A5E"/>
    <w:rsid w:val="008A16A1"/>
    <w:rsid w:val="008A5E35"/>
    <w:rsid w:val="008B62F6"/>
    <w:rsid w:val="008C0686"/>
    <w:rsid w:val="008C621A"/>
    <w:rsid w:val="008C79BC"/>
    <w:rsid w:val="008D52FF"/>
    <w:rsid w:val="00903873"/>
    <w:rsid w:val="00916121"/>
    <w:rsid w:val="009357FA"/>
    <w:rsid w:val="00965D70"/>
    <w:rsid w:val="009B0057"/>
    <w:rsid w:val="009D3C57"/>
    <w:rsid w:val="009E4B83"/>
    <w:rsid w:val="009E6E9C"/>
    <w:rsid w:val="009F2C07"/>
    <w:rsid w:val="00A60CD4"/>
    <w:rsid w:val="00A84359"/>
    <w:rsid w:val="00AF0463"/>
    <w:rsid w:val="00AF402E"/>
    <w:rsid w:val="00B155B7"/>
    <w:rsid w:val="00B71D8D"/>
    <w:rsid w:val="00B80A0A"/>
    <w:rsid w:val="00BB1312"/>
    <w:rsid w:val="00BC2368"/>
    <w:rsid w:val="00C035FB"/>
    <w:rsid w:val="00C114EC"/>
    <w:rsid w:val="00C16902"/>
    <w:rsid w:val="00C2535D"/>
    <w:rsid w:val="00C743FD"/>
    <w:rsid w:val="00C96A49"/>
    <w:rsid w:val="00CC53EA"/>
    <w:rsid w:val="00CC7BFE"/>
    <w:rsid w:val="00CE4209"/>
    <w:rsid w:val="00D1353C"/>
    <w:rsid w:val="00D154C7"/>
    <w:rsid w:val="00D2459A"/>
    <w:rsid w:val="00D679DB"/>
    <w:rsid w:val="00D7094D"/>
    <w:rsid w:val="00D76561"/>
    <w:rsid w:val="00DA15AF"/>
    <w:rsid w:val="00DB631D"/>
    <w:rsid w:val="00DC7619"/>
    <w:rsid w:val="00DD49DD"/>
    <w:rsid w:val="00E364C2"/>
    <w:rsid w:val="00E43B54"/>
    <w:rsid w:val="00E640BF"/>
    <w:rsid w:val="00EB55B9"/>
    <w:rsid w:val="00EC4BAE"/>
    <w:rsid w:val="00EE615C"/>
    <w:rsid w:val="00EF13D5"/>
    <w:rsid w:val="00F0196F"/>
    <w:rsid w:val="00F04F4E"/>
    <w:rsid w:val="00F13088"/>
    <w:rsid w:val="00F939EF"/>
    <w:rsid w:val="00F967BF"/>
    <w:rsid w:val="00F96890"/>
    <w:rsid w:val="00FA2530"/>
    <w:rsid w:val="00FA7C33"/>
    <w:rsid w:val="00FC52BA"/>
    <w:rsid w:val="00FD3A2C"/>
    <w:rsid w:val="00FF4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4C13F"/>
  <w15:chartTrackingRefBased/>
  <w15:docId w15:val="{8EA3140A-4BB9-984C-B107-97A04D90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56"/>
    <w:pPr>
      <w:spacing w:line="312" w:lineRule="auto"/>
    </w:pPr>
    <w:rPr>
      <w:kern w:val="20"/>
      <w:sz w:val="20"/>
      <w14:ligatures w14:val="standardContextual"/>
      <w14:numForm w14:val="lining"/>
      <w14:numSpacing w14:val="tabular"/>
      <w14:cntxtAlts/>
    </w:rPr>
  </w:style>
  <w:style w:type="paragraph" w:styleId="Heading1">
    <w:name w:val="heading 1"/>
    <w:basedOn w:val="Normal"/>
    <w:next w:val="Normal"/>
    <w:link w:val="Heading1Char"/>
    <w:uiPriority w:val="9"/>
    <w:qFormat/>
    <w:rsid w:val="008D52FF"/>
    <w:pPr>
      <w:keepNext/>
      <w:keepLines/>
      <w:suppressAutoHyphens/>
      <w:spacing w:before="320" w:line="240" w:lineRule="auto"/>
      <w:outlineLvl w:val="0"/>
    </w:pPr>
    <w:rPr>
      <w:rFonts w:asciiTheme="majorHAnsi" w:hAnsiTheme="majorHAnsi"/>
      <w:b/>
      <w:color w:val="AD003D" w:themeColor="accent1"/>
      <w:sz w:val="48"/>
    </w:rPr>
  </w:style>
  <w:style w:type="paragraph" w:styleId="Heading2">
    <w:name w:val="heading 2"/>
    <w:basedOn w:val="Heading1"/>
    <w:next w:val="Normal"/>
    <w:link w:val="Heading2Char"/>
    <w:uiPriority w:val="9"/>
    <w:qFormat/>
    <w:rsid w:val="000A6849"/>
    <w:pPr>
      <w:outlineLvl w:val="1"/>
    </w:pPr>
    <w:rPr>
      <w:sz w:val="32"/>
    </w:rPr>
  </w:style>
  <w:style w:type="paragraph" w:styleId="Heading3">
    <w:name w:val="heading 3"/>
    <w:basedOn w:val="Heading2"/>
    <w:next w:val="Normal"/>
    <w:link w:val="Heading3Char"/>
    <w:uiPriority w:val="9"/>
    <w:qFormat/>
    <w:rsid w:val="00263602"/>
    <w:pPr>
      <w:outlineLvl w:val="2"/>
    </w:pPr>
    <w:rPr>
      <w:b w:val="0"/>
      <w:color w:val="000000" w:themeColor="text1"/>
      <w:sz w:val="24"/>
    </w:rPr>
  </w:style>
  <w:style w:type="paragraph" w:styleId="Heading4">
    <w:name w:val="heading 4"/>
    <w:basedOn w:val="Heading3"/>
    <w:next w:val="Normal"/>
    <w:link w:val="Heading4Char"/>
    <w:uiPriority w:val="9"/>
    <w:unhideWhenUsed/>
    <w:qFormat/>
    <w:rsid w:val="00D154C7"/>
    <w:pPr>
      <w:outlineLvl w:val="3"/>
    </w:pPr>
    <w:rPr>
      <w:color w:val="auto"/>
      <w:sz w:val="22"/>
    </w:rPr>
  </w:style>
  <w:style w:type="paragraph" w:styleId="Heading5">
    <w:name w:val="heading 5"/>
    <w:basedOn w:val="Heading4"/>
    <w:next w:val="Normal"/>
    <w:link w:val="Heading5Char"/>
    <w:uiPriority w:val="9"/>
    <w:unhideWhenUsed/>
    <w:qFormat/>
    <w:rsid w:val="00844A15"/>
    <w:pPr>
      <w:outlineLvl w:val="4"/>
    </w:pPr>
    <w:rPr>
      <w:rFonts w:asciiTheme="minorHAnsi" w:hAnsiTheme="minorHAnsi"/>
      <w:smallCaps/>
    </w:rPr>
  </w:style>
  <w:style w:type="paragraph" w:styleId="Heading6">
    <w:name w:val="heading 6"/>
    <w:basedOn w:val="Heading5"/>
    <w:next w:val="Normal"/>
    <w:link w:val="Heading6Char"/>
    <w:uiPriority w:val="9"/>
    <w:semiHidden/>
    <w:rsid w:val="000A6849"/>
    <w:pPr>
      <w:outlineLvl w:val="5"/>
    </w:pPr>
  </w:style>
  <w:style w:type="paragraph" w:styleId="Heading7">
    <w:name w:val="heading 7"/>
    <w:basedOn w:val="Heading6"/>
    <w:next w:val="Normal"/>
    <w:link w:val="Heading7Char"/>
    <w:uiPriority w:val="9"/>
    <w:semiHidden/>
    <w:rsid w:val="00F04F4E"/>
    <w:pPr>
      <w:outlineLvl w:val="6"/>
    </w:pPr>
  </w:style>
  <w:style w:type="paragraph" w:styleId="Heading8">
    <w:name w:val="heading 8"/>
    <w:basedOn w:val="Heading7"/>
    <w:next w:val="Normal"/>
    <w:link w:val="Heading8Char"/>
    <w:uiPriority w:val="9"/>
    <w:semiHidden/>
    <w:rsid w:val="00F04F4E"/>
    <w:pPr>
      <w:outlineLvl w:val="7"/>
    </w:pPr>
  </w:style>
  <w:style w:type="paragraph" w:styleId="Heading9">
    <w:name w:val="heading 9"/>
    <w:basedOn w:val="Heading8"/>
    <w:next w:val="Normal"/>
    <w:link w:val="Heading9Char"/>
    <w:uiPriority w:val="9"/>
    <w:semiHidden/>
    <w:rsid w:val="00F04F4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BodyText"/>
    <w:next w:val="Normal"/>
    <w:link w:val="TitleChar"/>
    <w:uiPriority w:val="10"/>
    <w:rsid w:val="00263602"/>
    <w:pPr>
      <w:pageBreakBefore/>
      <w:spacing w:before="0" w:after="600"/>
    </w:pPr>
    <w:rPr>
      <w:b w:val="0"/>
      <w:color w:val="000000" w:themeColor="text1"/>
      <w:sz w:val="72"/>
    </w:rPr>
  </w:style>
  <w:style w:type="character" w:customStyle="1" w:styleId="TitleChar">
    <w:name w:val="Title Char"/>
    <w:basedOn w:val="DefaultParagraphFont"/>
    <w:link w:val="Title"/>
    <w:uiPriority w:val="10"/>
    <w:rsid w:val="00263602"/>
    <w:rPr>
      <w:rFonts w:asciiTheme="majorHAnsi" w:hAnsiTheme="majorHAnsi"/>
      <w:color w:val="000000" w:themeColor="text1"/>
      <w:kern w:val="20"/>
      <w:sz w:val="72"/>
      <w14:ligatures w14:val="standardContextual"/>
      <w14:numForm w14:val="lining"/>
      <w14:numSpacing w14:val="tabular"/>
      <w14:cntxtAlts/>
    </w:rPr>
  </w:style>
  <w:style w:type="character" w:customStyle="1" w:styleId="Heading1Char">
    <w:name w:val="Heading 1 Char"/>
    <w:basedOn w:val="DefaultParagraphFont"/>
    <w:link w:val="Heading1"/>
    <w:uiPriority w:val="9"/>
    <w:rsid w:val="008D52FF"/>
    <w:rPr>
      <w:rFonts w:asciiTheme="majorHAnsi" w:hAnsiTheme="majorHAnsi"/>
      <w:b/>
      <w:color w:val="AD003D" w:themeColor="accent1"/>
      <w:kern w:val="20"/>
      <w:sz w:val="48"/>
      <w14:ligatures w14:val="standardContextual"/>
      <w14:numForm w14:val="lining"/>
      <w14:numSpacing w14:val="tabular"/>
      <w14:cntxtAlts/>
    </w:rPr>
  </w:style>
  <w:style w:type="character" w:customStyle="1" w:styleId="Heading2Char">
    <w:name w:val="Heading 2 Char"/>
    <w:basedOn w:val="DefaultParagraphFont"/>
    <w:link w:val="Heading2"/>
    <w:uiPriority w:val="9"/>
    <w:rsid w:val="001D78E5"/>
    <w:rPr>
      <w:rFonts w:asciiTheme="majorHAnsi" w:hAnsiTheme="majorHAnsi"/>
      <w:color w:val="AD003D" w:themeColor="accent1"/>
      <w:sz w:val="32"/>
    </w:rPr>
  </w:style>
  <w:style w:type="character" w:customStyle="1" w:styleId="Heading3Char">
    <w:name w:val="Heading 3 Char"/>
    <w:basedOn w:val="DefaultParagraphFont"/>
    <w:link w:val="Heading3"/>
    <w:uiPriority w:val="9"/>
    <w:rsid w:val="00263602"/>
    <w:rPr>
      <w:rFonts w:asciiTheme="majorHAnsi" w:hAnsiTheme="majorHAnsi"/>
      <w:color w:val="000000" w:themeColor="text1"/>
      <w:kern w:val="20"/>
      <w:sz w:val="24"/>
      <w14:ligatures w14:val="standardContextual"/>
      <w14:numForm w14:val="lining"/>
      <w14:numSpacing w14:val="tabular"/>
      <w14:cntxtAlts/>
    </w:rPr>
  </w:style>
  <w:style w:type="character" w:customStyle="1" w:styleId="Heading4Char">
    <w:name w:val="Heading 4 Char"/>
    <w:basedOn w:val="DefaultParagraphFont"/>
    <w:link w:val="Heading4"/>
    <w:uiPriority w:val="9"/>
    <w:rsid w:val="00D154C7"/>
    <w:rPr>
      <w:rFonts w:asciiTheme="majorHAnsi" w:hAnsiTheme="majorHAnsi"/>
      <w:kern w:val="20"/>
      <w14:ligatures w14:val="standardContextual"/>
      <w14:numForm w14:val="lining"/>
      <w14:numSpacing w14:val="tabular"/>
      <w14:cntxtAlts/>
    </w:rPr>
  </w:style>
  <w:style w:type="paragraph" w:styleId="Subtitle">
    <w:name w:val="Subtitle"/>
    <w:basedOn w:val="Heading2"/>
    <w:next w:val="Normal"/>
    <w:link w:val="SubtitleChar"/>
    <w:uiPriority w:val="11"/>
    <w:rsid w:val="00263602"/>
    <w:pPr>
      <w:spacing w:after="600"/>
      <w:outlineLvl w:val="9"/>
    </w:pPr>
    <w:rPr>
      <w:b w:val="0"/>
      <w:color w:val="000000" w:themeColor="text1"/>
      <w:sz w:val="24"/>
    </w:rPr>
  </w:style>
  <w:style w:type="character" w:customStyle="1" w:styleId="SubtitleChar">
    <w:name w:val="Subtitle Char"/>
    <w:basedOn w:val="DefaultParagraphFont"/>
    <w:link w:val="Subtitle"/>
    <w:uiPriority w:val="11"/>
    <w:rsid w:val="00263602"/>
    <w:rPr>
      <w:rFonts w:asciiTheme="majorHAnsi" w:hAnsiTheme="majorHAnsi"/>
      <w:color w:val="000000" w:themeColor="text1"/>
      <w:kern w:val="20"/>
      <w:sz w:val="24"/>
      <w14:ligatures w14:val="standardContextual"/>
      <w14:numForm w14:val="lining"/>
      <w14:numSpacing w14:val="tabular"/>
      <w14:cntxtAlts/>
    </w:rPr>
  </w:style>
  <w:style w:type="paragraph" w:styleId="ListParagraph">
    <w:name w:val="List Paragraph"/>
    <w:basedOn w:val="BodyTextIndent"/>
    <w:uiPriority w:val="34"/>
    <w:semiHidden/>
    <w:rsid w:val="00227F89"/>
    <w:pPr>
      <w:contextualSpacing/>
    </w:pPr>
  </w:style>
  <w:style w:type="paragraph" w:styleId="NoSpacing">
    <w:name w:val="No Spacing"/>
    <w:basedOn w:val="Normal"/>
    <w:uiPriority w:val="1"/>
    <w:rsid w:val="00CC7BFE"/>
    <w:pPr>
      <w:spacing w:after="0"/>
      <w:contextualSpacing/>
    </w:pPr>
  </w:style>
  <w:style w:type="paragraph" w:styleId="Quote">
    <w:name w:val="Quote"/>
    <w:basedOn w:val="Normal"/>
    <w:next w:val="Normal"/>
    <w:link w:val="QuoteChar"/>
    <w:uiPriority w:val="29"/>
    <w:rsid w:val="000A6849"/>
    <w:pPr>
      <w:spacing w:before="160"/>
      <w:ind w:left="567" w:right="567"/>
    </w:pPr>
  </w:style>
  <w:style w:type="character" w:customStyle="1" w:styleId="QuoteChar">
    <w:name w:val="Quote Char"/>
    <w:basedOn w:val="DefaultParagraphFont"/>
    <w:link w:val="Quote"/>
    <w:uiPriority w:val="29"/>
    <w:rsid w:val="001D78E5"/>
    <w:rPr>
      <w:sz w:val="20"/>
    </w:rPr>
  </w:style>
  <w:style w:type="paragraph" w:styleId="IntenseQuote">
    <w:name w:val="Intense Quote"/>
    <w:basedOn w:val="Normal"/>
    <w:next w:val="Normal"/>
    <w:link w:val="IntenseQuoteChar"/>
    <w:uiPriority w:val="30"/>
    <w:rsid w:val="004D2156"/>
    <w:rPr>
      <w:sz w:val="28"/>
      <w:szCs w:val="30"/>
    </w:rPr>
  </w:style>
  <w:style w:type="character" w:customStyle="1" w:styleId="IntenseQuoteChar">
    <w:name w:val="Intense Quote Char"/>
    <w:basedOn w:val="DefaultParagraphFont"/>
    <w:link w:val="IntenseQuote"/>
    <w:uiPriority w:val="30"/>
    <w:rsid w:val="004D2156"/>
    <w:rPr>
      <w:kern w:val="20"/>
      <w:sz w:val="28"/>
      <w:szCs w:val="30"/>
      <w14:ligatures w14:val="standardContextual"/>
      <w14:numForm w14:val="lining"/>
      <w14:numSpacing w14:val="tabular"/>
      <w14:cntxtAlts/>
    </w:rPr>
  </w:style>
  <w:style w:type="character" w:customStyle="1" w:styleId="Heading5Char">
    <w:name w:val="Heading 5 Char"/>
    <w:basedOn w:val="DefaultParagraphFont"/>
    <w:link w:val="Heading5"/>
    <w:uiPriority w:val="9"/>
    <w:rsid w:val="001D78E5"/>
    <w:rPr>
      <w:smallCaps/>
      <w:sz w:val="20"/>
    </w:rPr>
  </w:style>
  <w:style w:type="character" w:customStyle="1" w:styleId="Heading6Char">
    <w:name w:val="Heading 6 Char"/>
    <w:basedOn w:val="DefaultParagraphFont"/>
    <w:link w:val="Heading6"/>
    <w:uiPriority w:val="9"/>
    <w:semiHidden/>
    <w:rsid w:val="00EF13D5"/>
    <w:rPr>
      <w:smallCaps/>
      <w:kern w:val="20"/>
      <w14:ligatures w14:val="standardContextual"/>
      <w14:numForm w14:val="lining"/>
      <w14:numSpacing w14:val="tabular"/>
      <w14:cntxtAlts/>
    </w:rPr>
  </w:style>
  <w:style w:type="character" w:customStyle="1" w:styleId="Heading7Char">
    <w:name w:val="Heading 7 Char"/>
    <w:basedOn w:val="DefaultParagraphFont"/>
    <w:link w:val="Heading7"/>
    <w:uiPriority w:val="9"/>
    <w:semiHidden/>
    <w:rsid w:val="00EF13D5"/>
    <w:rPr>
      <w:smallCaps/>
      <w:kern w:val="20"/>
      <w14:ligatures w14:val="standardContextual"/>
      <w14:numForm w14:val="lining"/>
      <w14:numSpacing w14:val="tabular"/>
      <w14:cntxtAlts/>
    </w:rPr>
  </w:style>
  <w:style w:type="character" w:styleId="IntenseEmphasis">
    <w:name w:val="Intense Emphasis"/>
    <w:uiPriority w:val="21"/>
    <w:rsid w:val="00EF13D5"/>
    <w:rPr>
      <w:b/>
      <w:bCs/>
      <w:color w:val="AD003D" w:themeColor="accent1"/>
    </w:rPr>
  </w:style>
  <w:style w:type="character" w:styleId="SubtleEmphasis">
    <w:name w:val="Subtle Emphasis"/>
    <w:uiPriority w:val="19"/>
    <w:rsid w:val="00EF13D5"/>
    <w:rPr>
      <w:color w:val="8F7C5D" w:themeColor="background2" w:themeShade="80"/>
    </w:rPr>
  </w:style>
  <w:style w:type="character" w:customStyle="1" w:styleId="Heading8Char">
    <w:name w:val="Heading 8 Char"/>
    <w:basedOn w:val="DefaultParagraphFont"/>
    <w:link w:val="Heading8"/>
    <w:uiPriority w:val="9"/>
    <w:semiHidden/>
    <w:rsid w:val="00EF13D5"/>
    <w:rPr>
      <w:smallCaps/>
      <w:kern w:val="20"/>
      <w14:ligatures w14:val="standardContextual"/>
      <w14:numForm w14:val="lining"/>
      <w14:numSpacing w14:val="tabular"/>
      <w14:cntxtAlts/>
    </w:rPr>
  </w:style>
  <w:style w:type="character" w:customStyle="1" w:styleId="Heading9Char">
    <w:name w:val="Heading 9 Char"/>
    <w:basedOn w:val="DefaultParagraphFont"/>
    <w:link w:val="Heading9"/>
    <w:uiPriority w:val="9"/>
    <w:semiHidden/>
    <w:rsid w:val="00EF13D5"/>
    <w:rPr>
      <w:smallCaps/>
      <w:kern w:val="20"/>
      <w14:ligatures w14:val="standardContextual"/>
      <w14:numForm w14:val="lining"/>
      <w14:numSpacing w14:val="tabular"/>
      <w14:cntxtAlts/>
    </w:rPr>
  </w:style>
  <w:style w:type="table" w:styleId="TableGrid">
    <w:name w:val="Table Grid"/>
    <w:basedOn w:val="TableNormal"/>
    <w:uiPriority w:val="39"/>
    <w:rsid w:val="00D7094D"/>
    <w:pPr>
      <w:spacing w:after="0" w:line="240" w:lineRule="auto"/>
    </w:pPr>
    <w:tblPr>
      <w:tblStyleRowBandSize w:val="1"/>
      <w:tblStyleColBandSize w:val="1"/>
      <w:tblBorders>
        <w:top w:val="single" w:sz="4" w:space="0" w:color="F0EDE8" w:themeColor="background2"/>
        <w:left w:val="single" w:sz="4" w:space="0" w:color="F0EDE8" w:themeColor="background2"/>
        <w:bottom w:val="single" w:sz="4" w:space="0" w:color="F0EDE8" w:themeColor="background2"/>
        <w:right w:val="single" w:sz="4" w:space="0" w:color="F0EDE8" w:themeColor="background2"/>
        <w:insideH w:val="single" w:sz="4" w:space="0" w:color="F0EDE8" w:themeColor="background2"/>
        <w:insideV w:val="single" w:sz="4" w:space="0" w:color="F0EDE8" w:themeColor="background2"/>
      </w:tblBorders>
      <w:tblCellMar>
        <w:top w:w="57" w:type="dxa"/>
        <w:left w:w="85" w:type="dxa"/>
        <w:bottom w:w="28" w:type="dxa"/>
        <w:right w:w="85" w:type="dxa"/>
      </w:tblCellMar>
    </w:tblPr>
    <w:tblStylePr w:type="firstRow">
      <w:pPr>
        <w:keepNext/>
        <w:wordWrap/>
      </w:pPr>
      <w:rPr>
        <w:rFonts w:asciiTheme="minorHAnsi" w:hAnsiTheme="minorHAnsi"/>
        <w:b/>
      </w:rPr>
      <w:tblPr/>
      <w:tcPr>
        <w:shd w:val="clear" w:color="auto" w:fill="F0EDE8" w:themeFill="background2"/>
      </w:tcPr>
    </w:tblStylePr>
    <w:tblStylePr w:type="lastRow">
      <w:rPr>
        <w:rFonts w:asciiTheme="minorHAnsi" w:hAnsiTheme="minorHAnsi"/>
        <w:b/>
      </w:rPr>
      <w:tblPr/>
      <w:tcPr>
        <w:tcBorders>
          <w:top w:val="single" w:sz="4" w:space="0" w:color="870034" w:themeColor="text2"/>
        </w:tcBorders>
      </w:tcPr>
    </w:tblStylePr>
    <w:tblStylePr w:type="firstCol">
      <w:rPr>
        <w:rFonts w:asciiTheme="minorHAnsi" w:hAnsiTheme="minorHAnsi"/>
        <w:b/>
      </w:rPr>
      <w:tblPr/>
      <w:tcPr>
        <w:shd w:val="clear" w:color="auto" w:fill="F0EDE8" w:themeFill="background2"/>
      </w:tcPr>
    </w:tblStylePr>
    <w:tblStylePr w:type="lastCol">
      <w:rPr>
        <w:rFonts w:asciiTheme="minorHAnsi" w:hAnsiTheme="minorHAnsi"/>
        <w:b/>
      </w:rPr>
      <w:tblPr/>
      <w:tcPr>
        <w:tcBorders>
          <w:left w:val="single" w:sz="4" w:space="0" w:color="870034" w:themeColor="text2"/>
        </w:tcBorders>
      </w:tcPr>
    </w:tblStylePr>
    <w:tblStylePr w:type="band1Vert">
      <w:tblPr/>
      <w:tcPr>
        <w:tcBorders>
          <w:left w:val="single" w:sz="4" w:space="0" w:color="870034" w:themeColor="text2"/>
          <w:right w:val="single" w:sz="4" w:space="0" w:color="870034" w:themeColor="text2"/>
        </w:tcBorders>
      </w:tcPr>
    </w:tblStylePr>
    <w:tblStylePr w:type="band2Vert">
      <w:tblPr/>
      <w:tcPr>
        <w:tcBorders>
          <w:left w:val="single" w:sz="4" w:space="0" w:color="870034" w:themeColor="text2"/>
          <w:right w:val="single" w:sz="4" w:space="0" w:color="870034" w:themeColor="text2"/>
        </w:tcBorders>
      </w:tcPr>
    </w:tblStylePr>
    <w:tblStylePr w:type="band1Horz">
      <w:tblPr/>
      <w:tcPr>
        <w:tcBorders>
          <w:top w:val="single" w:sz="4" w:space="0" w:color="870034" w:themeColor="text2"/>
          <w:bottom w:val="single" w:sz="4" w:space="0" w:color="870034" w:themeColor="text2"/>
        </w:tcBorders>
      </w:tcPr>
    </w:tblStylePr>
    <w:tblStylePr w:type="band2Horz">
      <w:tblPr/>
      <w:tcPr>
        <w:tcBorders>
          <w:top w:val="single" w:sz="4" w:space="0" w:color="870034" w:themeColor="text2"/>
          <w:bottom w:val="single" w:sz="4" w:space="0" w:color="870034" w:themeColor="text2"/>
        </w:tcBorders>
      </w:tcPr>
    </w:tblStylePr>
  </w:style>
  <w:style w:type="table" w:styleId="ColourfulListAccent6">
    <w:name w:val="Colorful List Accent 6"/>
    <w:basedOn w:val="TableNormal"/>
    <w:uiPriority w:val="72"/>
    <w:rsid w:val="00F04F4E"/>
    <w:pPr>
      <w:spacing w:after="0" w:line="240" w:lineRule="auto"/>
    </w:pPr>
    <w:rPr>
      <w:color w:val="000000" w:themeColor="text1"/>
    </w:rPr>
    <w:tblPr>
      <w:tblStyleRowBandSize w:val="1"/>
      <w:tblStyleColBandSize w:val="1"/>
    </w:tblPr>
    <w:tcPr>
      <w:shd w:val="clear" w:color="auto" w:fill="FDF4EA" w:themeFill="accent6" w:themeFillTint="19"/>
    </w:tcPr>
    <w:tblStylePr w:type="firstRow">
      <w:rPr>
        <w:b/>
        <w:bCs/>
        <w:color w:val="FFFFFF" w:themeColor="background1"/>
      </w:rPr>
      <w:tblPr/>
      <w:tcPr>
        <w:tcBorders>
          <w:bottom w:val="single" w:sz="12" w:space="0" w:color="FFFFFF" w:themeColor="background1"/>
        </w:tcBorders>
        <w:shd w:val="clear" w:color="auto" w:fill="0C6C41" w:themeFill="accent5" w:themeFillShade="CC"/>
      </w:tcPr>
    </w:tblStylePr>
    <w:tblStylePr w:type="lastRow">
      <w:rPr>
        <w:b/>
        <w:bCs/>
        <w:color w:val="0C6C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CA" w:themeFill="accent6" w:themeFillTint="3F"/>
      </w:tcPr>
    </w:tblStylePr>
    <w:tblStylePr w:type="band1Horz">
      <w:tblPr/>
      <w:tcPr>
        <w:shd w:val="clear" w:color="auto" w:fill="FBE8D5" w:themeFill="accent6" w:themeFillTint="33"/>
      </w:tcPr>
    </w:tblStylePr>
  </w:style>
  <w:style w:type="table" w:styleId="TableTheme">
    <w:name w:val="Table Theme"/>
    <w:basedOn w:val="TableNormal"/>
    <w:uiPriority w:val="99"/>
    <w:rsid w:val="00F04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04F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04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04F4E"/>
    <w:pPr>
      <w:spacing w:after="0" w:line="240" w:lineRule="auto"/>
    </w:pPr>
    <w:tblPr>
      <w:tblStyleRowBandSize w:val="1"/>
      <w:tblStyleColBandSize w:val="1"/>
      <w:tblBorders>
        <w:top w:val="single" w:sz="4" w:space="0" w:color="FF78A7" w:themeColor="accent1" w:themeTint="66"/>
        <w:left w:val="single" w:sz="4" w:space="0" w:color="FF78A7" w:themeColor="accent1" w:themeTint="66"/>
        <w:bottom w:val="single" w:sz="4" w:space="0" w:color="FF78A7" w:themeColor="accent1" w:themeTint="66"/>
        <w:right w:val="single" w:sz="4" w:space="0" w:color="FF78A7" w:themeColor="accent1" w:themeTint="66"/>
        <w:insideH w:val="single" w:sz="4" w:space="0" w:color="FF78A7" w:themeColor="accent1" w:themeTint="66"/>
        <w:insideV w:val="single" w:sz="4" w:space="0" w:color="FF78A7" w:themeColor="accent1" w:themeTint="66"/>
      </w:tblBorders>
    </w:tblPr>
    <w:tblStylePr w:type="firstRow">
      <w:rPr>
        <w:b/>
        <w:bCs/>
      </w:rPr>
      <w:tblPr/>
      <w:tcPr>
        <w:tcBorders>
          <w:bottom w:val="single" w:sz="12" w:space="0" w:color="FF347B" w:themeColor="accent1" w:themeTint="99"/>
        </w:tcBorders>
      </w:tcPr>
    </w:tblStylePr>
    <w:tblStylePr w:type="lastRow">
      <w:rPr>
        <w:b/>
        <w:bCs/>
      </w:rPr>
      <w:tblPr/>
      <w:tcPr>
        <w:tcBorders>
          <w:top w:val="double" w:sz="2" w:space="0" w:color="FF347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F04F4E"/>
    <w:pPr>
      <w:spacing w:after="0" w:line="240" w:lineRule="auto"/>
    </w:pPr>
    <w:tblPr>
      <w:tblStyleRowBandSize w:val="1"/>
      <w:tblStyleColBandSize w:val="1"/>
      <w:tblBorders>
        <w:top w:val="single" w:sz="4" w:space="0" w:color="FF347B" w:themeColor="accent1" w:themeTint="99"/>
        <w:left w:val="single" w:sz="4" w:space="0" w:color="FF347B" w:themeColor="accent1" w:themeTint="99"/>
        <w:bottom w:val="single" w:sz="4" w:space="0" w:color="FF347B" w:themeColor="accent1" w:themeTint="99"/>
        <w:right w:val="single" w:sz="4" w:space="0" w:color="FF347B" w:themeColor="accent1" w:themeTint="99"/>
        <w:insideH w:val="single" w:sz="4" w:space="0" w:color="FF347B" w:themeColor="accent1" w:themeTint="99"/>
        <w:insideV w:val="single" w:sz="4" w:space="0" w:color="FF347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bottom w:val="single" w:sz="4" w:space="0" w:color="FF347B" w:themeColor="accent1" w:themeTint="99"/>
        </w:tcBorders>
      </w:tcPr>
    </w:tblStylePr>
    <w:tblStylePr w:type="nwCell">
      <w:tblPr/>
      <w:tcPr>
        <w:tcBorders>
          <w:bottom w:val="single" w:sz="4" w:space="0" w:color="FF347B" w:themeColor="accent1" w:themeTint="99"/>
        </w:tcBorders>
      </w:tcPr>
    </w:tblStylePr>
    <w:tblStylePr w:type="seCell">
      <w:tblPr/>
      <w:tcPr>
        <w:tcBorders>
          <w:top w:val="single" w:sz="4" w:space="0" w:color="FF347B" w:themeColor="accent1" w:themeTint="99"/>
        </w:tcBorders>
      </w:tcPr>
    </w:tblStylePr>
    <w:tblStylePr w:type="swCell">
      <w:tblPr/>
      <w:tcPr>
        <w:tcBorders>
          <w:top w:val="single" w:sz="4" w:space="0" w:color="FF347B" w:themeColor="accent1" w:themeTint="99"/>
        </w:tcBorders>
      </w:tcPr>
    </w:tblStylePr>
  </w:style>
  <w:style w:type="table" w:styleId="GridTable4">
    <w:name w:val="Grid Table 4"/>
    <w:basedOn w:val="TableNormal"/>
    <w:uiPriority w:val="49"/>
    <w:rsid w:val="00F04F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urfulAccent5">
    <w:name w:val="Grid Table 7 Colorful Accent 5"/>
    <w:basedOn w:val="TableNormal"/>
    <w:uiPriority w:val="52"/>
    <w:rsid w:val="00F04F4E"/>
    <w:pPr>
      <w:spacing w:after="0" w:line="240" w:lineRule="auto"/>
    </w:pPr>
    <w:rPr>
      <w:color w:val="0B653D" w:themeColor="accent5" w:themeShade="BF"/>
    </w:rPr>
    <w:tblPr>
      <w:tblStyleRowBandSize w:val="1"/>
      <w:tblStyleColBandSize w:val="1"/>
      <w:tblBorders>
        <w:top w:val="single" w:sz="4" w:space="0" w:color="3CE99C" w:themeColor="accent5" w:themeTint="99"/>
        <w:left w:val="single" w:sz="4" w:space="0" w:color="3CE99C" w:themeColor="accent5" w:themeTint="99"/>
        <w:bottom w:val="single" w:sz="4" w:space="0" w:color="3CE99C" w:themeColor="accent5" w:themeTint="99"/>
        <w:right w:val="single" w:sz="4" w:space="0" w:color="3CE99C" w:themeColor="accent5" w:themeTint="99"/>
        <w:insideH w:val="single" w:sz="4" w:space="0" w:color="3CE99C" w:themeColor="accent5" w:themeTint="99"/>
        <w:insideV w:val="single" w:sz="4" w:space="0" w:color="3CE9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bottom w:val="single" w:sz="4" w:space="0" w:color="3CE99C" w:themeColor="accent5" w:themeTint="99"/>
        </w:tcBorders>
      </w:tcPr>
    </w:tblStylePr>
    <w:tblStylePr w:type="nwCell">
      <w:tblPr/>
      <w:tcPr>
        <w:tcBorders>
          <w:bottom w:val="single" w:sz="4" w:space="0" w:color="3CE99C" w:themeColor="accent5" w:themeTint="99"/>
        </w:tcBorders>
      </w:tcPr>
    </w:tblStylePr>
    <w:tblStylePr w:type="seCell">
      <w:tblPr/>
      <w:tcPr>
        <w:tcBorders>
          <w:top w:val="single" w:sz="4" w:space="0" w:color="3CE99C" w:themeColor="accent5" w:themeTint="99"/>
        </w:tcBorders>
      </w:tcPr>
    </w:tblStylePr>
    <w:tblStylePr w:type="swCell">
      <w:tblPr/>
      <w:tcPr>
        <w:tcBorders>
          <w:top w:val="single" w:sz="4" w:space="0" w:color="3CE99C" w:themeColor="accent5" w:themeTint="99"/>
        </w:tcBorders>
      </w:tcPr>
    </w:tblStylePr>
  </w:style>
  <w:style w:type="table" w:styleId="ListTable1Light-Accent4">
    <w:name w:val="List Table 1 Light Accent 4"/>
    <w:basedOn w:val="TableNormal"/>
    <w:uiPriority w:val="46"/>
    <w:rsid w:val="00F04F4E"/>
    <w:pPr>
      <w:spacing w:after="0" w:line="240" w:lineRule="auto"/>
    </w:pPr>
    <w:tblPr>
      <w:tblStyleRowBandSize w:val="1"/>
      <w:tblStyleColBandSize w:val="1"/>
    </w:tblPr>
    <w:tblStylePr w:type="firstRow">
      <w:rPr>
        <w:b/>
        <w:bCs/>
      </w:rPr>
      <w:tblPr/>
      <w:tcPr>
        <w:tcBorders>
          <w:bottom w:val="single" w:sz="4" w:space="0" w:color="2FFFDF" w:themeColor="accent4" w:themeTint="99"/>
        </w:tcBorders>
      </w:tcPr>
    </w:tblStylePr>
    <w:tblStylePr w:type="lastRow">
      <w:rPr>
        <w:b/>
        <w:bCs/>
      </w:rPr>
      <w:tblPr/>
      <w:tcPr>
        <w:tcBorders>
          <w:top w:val="single" w:sz="4" w:space="0" w:color="2FFFDF" w:themeColor="accent4" w:themeTint="99"/>
        </w:tcBorders>
      </w:tcPr>
    </w:tblStylePr>
    <w:tblStylePr w:type="firstCol">
      <w:rPr>
        <w:b/>
        <w:bCs/>
      </w:rPr>
    </w:tblStylePr>
    <w:tblStylePr w:type="lastCol">
      <w:rPr>
        <w:b/>
        <w:bCs/>
      </w:rPr>
    </w:tblStylePr>
    <w:tblStylePr w:type="band1Vert">
      <w:tblPr/>
      <w:tcPr>
        <w:shd w:val="clear" w:color="auto" w:fill="B9FFF4" w:themeFill="accent4" w:themeFillTint="33"/>
      </w:tcPr>
    </w:tblStylePr>
    <w:tblStylePr w:type="band1Horz">
      <w:tblPr/>
      <w:tcPr>
        <w:shd w:val="clear" w:color="auto" w:fill="B9FFF4" w:themeFill="accent4" w:themeFillTint="33"/>
      </w:tcPr>
    </w:tblStylePr>
  </w:style>
  <w:style w:type="table" w:styleId="ListTable5Dark-Accent3">
    <w:name w:val="List Table 5 Dark Accent 3"/>
    <w:basedOn w:val="TableNormal"/>
    <w:uiPriority w:val="50"/>
    <w:rsid w:val="00F04F4E"/>
    <w:pPr>
      <w:spacing w:after="0" w:line="240" w:lineRule="auto"/>
    </w:pPr>
    <w:rPr>
      <w:color w:val="FFFFFF" w:themeColor="background1"/>
    </w:rPr>
    <w:tblPr>
      <w:tblStyleRowBandSize w:val="1"/>
      <w:tblStyleColBandSize w:val="1"/>
      <w:tblBorders>
        <w:top w:val="single" w:sz="24" w:space="0" w:color="00639C" w:themeColor="accent3"/>
        <w:left w:val="single" w:sz="24" w:space="0" w:color="00639C" w:themeColor="accent3"/>
        <w:bottom w:val="single" w:sz="24" w:space="0" w:color="00639C" w:themeColor="accent3"/>
        <w:right w:val="single" w:sz="24" w:space="0" w:color="00639C" w:themeColor="accent3"/>
      </w:tblBorders>
    </w:tblPr>
    <w:tcPr>
      <w:shd w:val="clear" w:color="auto" w:fill="0063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2">
    <w:name w:val="Plain Table 2"/>
    <w:basedOn w:val="TableNormal"/>
    <w:uiPriority w:val="42"/>
    <w:rsid w:val="00F04F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Web2">
    <w:name w:val="Table Web 2"/>
    <w:basedOn w:val="TableNormal"/>
    <w:uiPriority w:val="99"/>
    <w:rsid w:val="00C96A49"/>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7ColourfulAccent2">
    <w:name w:val="Grid Table 7 Colorful Accent 2"/>
    <w:basedOn w:val="TableNormal"/>
    <w:uiPriority w:val="52"/>
    <w:rsid w:val="00F04F4E"/>
    <w:pPr>
      <w:spacing w:after="0" w:line="240" w:lineRule="auto"/>
    </w:pPr>
    <w:rPr>
      <w:color w:val="462761" w:themeColor="accent2" w:themeShade="BF"/>
    </w:rPr>
    <w:tblPr>
      <w:tblStyleRowBandSize w:val="1"/>
      <w:tblStyleColBandSize w:val="1"/>
      <w:tblBorders>
        <w:top w:val="single" w:sz="4" w:space="0" w:color="9F72C6" w:themeColor="accent2" w:themeTint="99"/>
        <w:left w:val="single" w:sz="4" w:space="0" w:color="9F72C6" w:themeColor="accent2" w:themeTint="99"/>
        <w:bottom w:val="single" w:sz="4" w:space="0" w:color="9F72C6" w:themeColor="accent2" w:themeTint="99"/>
        <w:right w:val="single" w:sz="4" w:space="0" w:color="9F72C6" w:themeColor="accent2" w:themeTint="99"/>
        <w:insideH w:val="single" w:sz="4" w:space="0" w:color="9F72C6" w:themeColor="accent2" w:themeTint="99"/>
        <w:insideV w:val="single" w:sz="4" w:space="0" w:color="9F72C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0EC" w:themeFill="accent2" w:themeFillTint="33"/>
      </w:tcPr>
    </w:tblStylePr>
    <w:tblStylePr w:type="band1Horz">
      <w:tblPr/>
      <w:tcPr>
        <w:shd w:val="clear" w:color="auto" w:fill="DFD0EC" w:themeFill="accent2" w:themeFillTint="33"/>
      </w:tcPr>
    </w:tblStylePr>
    <w:tblStylePr w:type="neCell">
      <w:tblPr/>
      <w:tcPr>
        <w:tcBorders>
          <w:bottom w:val="single" w:sz="4" w:space="0" w:color="9F72C6" w:themeColor="accent2" w:themeTint="99"/>
        </w:tcBorders>
      </w:tcPr>
    </w:tblStylePr>
    <w:tblStylePr w:type="nwCell">
      <w:tblPr/>
      <w:tcPr>
        <w:tcBorders>
          <w:bottom w:val="single" w:sz="4" w:space="0" w:color="9F72C6" w:themeColor="accent2" w:themeTint="99"/>
        </w:tcBorders>
      </w:tcPr>
    </w:tblStylePr>
    <w:tblStylePr w:type="seCell">
      <w:tblPr/>
      <w:tcPr>
        <w:tcBorders>
          <w:top w:val="single" w:sz="4" w:space="0" w:color="9F72C6" w:themeColor="accent2" w:themeTint="99"/>
        </w:tcBorders>
      </w:tcPr>
    </w:tblStylePr>
    <w:tblStylePr w:type="swCell">
      <w:tblPr/>
      <w:tcPr>
        <w:tcBorders>
          <w:top w:val="single" w:sz="4" w:space="0" w:color="9F72C6" w:themeColor="accent2" w:themeTint="99"/>
        </w:tcBorders>
      </w:tcPr>
    </w:tblStylePr>
  </w:style>
  <w:style w:type="table" w:styleId="GridTable1Light">
    <w:name w:val="Grid Table 1 Light"/>
    <w:basedOn w:val="TableNormal"/>
    <w:uiPriority w:val="46"/>
    <w:rsid w:val="00F04F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BodyText3"/>
    <w:link w:val="FootnoteTextChar"/>
    <w:uiPriority w:val="99"/>
    <w:semiHidden/>
    <w:rsid w:val="001D78E5"/>
    <w:pPr>
      <w:spacing w:after="0"/>
      <w:ind w:left="284" w:hanging="284"/>
    </w:pPr>
  </w:style>
  <w:style w:type="character" w:customStyle="1" w:styleId="FootnoteTextChar">
    <w:name w:val="Footnote Text Char"/>
    <w:basedOn w:val="DefaultParagraphFont"/>
    <w:link w:val="FootnoteText"/>
    <w:uiPriority w:val="99"/>
    <w:semiHidden/>
    <w:rsid w:val="001D78E5"/>
    <w:rPr>
      <w:sz w:val="16"/>
    </w:rPr>
  </w:style>
  <w:style w:type="character" w:styleId="FootnoteReference">
    <w:name w:val="footnote reference"/>
    <w:basedOn w:val="FootnoteTextChar"/>
    <w:uiPriority w:val="99"/>
    <w:semiHidden/>
    <w:rsid w:val="001D78E5"/>
    <w:rPr>
      <w:color w:val="AD003D" w:themeColor="accent1"/>
      <w:sz w:val="20"/>
      <w:vertAlign w:val="superscript"/>
    </w:rPr>
  </w:style>
  <w:style w:type="paragraph" w:styleId="TOCHeading">
    <w:name w:val="TOC Heading"/>
    <w:basedOn w:val="Heading1BodyText"/>
    <w:next w:val="Normal"/>
    <w:uiPriority w:val="39"/>
    <w:semiHidden/>
    <w:qFormat/>
    <w:rsid w:val="005424C3"/>
  </w:style>
  <w:style w:type="paragraph" w:styleId="TOC1">
    <w:name w:val="toc 1"/>
    <w:basedOn w:val="NoSpacing"/>
    <w:next w:val="Normal"/>
    <w:uiPriority w:val="39"/>
    <w:semiHidden/>
    <w:rsid w:val="00DD49DD"/>
    <w:pPr>
      <w:tabs>
        <w:tab w:val="right" w:leader="dot" w:pos="9639"/>
      </w:tabs>
      <w:ind w:left="567" w:hanging="567"/>
    </w:pPr>
    <w:rPr>
      <w:noProof/>
    </w:rPr>
  </w:style>
  <w:style w:type="paragraph" w:styleId="TOC2">
    <w:name w:val="toc 2"/>
    <w:basedOn w:val="TOC1"/>
    <w:next w:val="Normal"/>
    <w:uiPriority w:val="39"/>
    <w:semiHidden/>
    <w:rsid w:val="00DD49DD"/>
    <w:pPr>
      <w:ind w:left="851"/>
    </w:pPr>
  </w:style>
  <w:style w:type="paragraph" w:styleId="TOC3">
    <w:name w:val="toc 3"/>
    <w:basedOn w:val="TOC1"/>
    <w:next w:val="Normal"/>
    <w:uiPriority w:val="39"/>
    <w:semiHidden/>
    <w:rsid w:val="00DD49DD"/>
    <w:pPr>
      <w:ind w:left="1134"/>
    </w:pPr>
  </w:style>
  <w:style w:type="character" w:styleId="Hyperlink">
    <w:name w:val="Hyperlink"/>
    <w:basedOn w:val="DefaultParagraphFont"/>
    <w:uiPriority w:val="99"/>
    <w:semiHidden/>
    <w:rsid w:val="00263602"/>
    <w:rPr>
      <w:color w:val="00639C" w:themeColor="accent3"/>
      <w:u w:val="dotted" w:color="3D8B7A"/>
    </w:rPr>
  </w:style>
  <w:style w:type="paragraph" w:styleId="Caption">
    <w:name w:val="caption"/>
    <w:basedOn w:val="BodyText3"/>
    <w:next w:val="Normal"/>
    <w:uiPriority w:val="35"/>
    <w:semiHidden/>
    <w:qFormat/>
    <w:rsid w:val="00CE4209"/>
    <w:pPr>
      <w:spacing w:before="160"/>
    </w:pPr>
  </w:style>
  <w:style w:type="paragraph" w:styleId="TOAHeading">
    <w:name w:val="toa heading"/>
    <w:basedOn w:val="Heading1BodyText"/>
    <w:next w:val="Normal"/>
    <w:uiPriority w:val="99"/>
    <w:semiHidden/>
    <w:rsid w:val="005424C3"/>
  </w:style>
  <w:style w:type="paragraph" w:styleId="TableofAuthorities">
    <w:name w:val="table of authorities"/>
    <w:basedOn w:val="TOC1"/>
    <w:next w:val="Normal"/>
    <w:uiPriority w:val="99"/>
    <w:semiHidden/>
    <w:rsid w:val="0074030F"/>
  </w:style>
  <w:style w:type="paragraph" w:styleId="TableofFigures">
    <w:name w:val="table of figures"/>
    <w:basedOn w:val="TOC1"/>
    <w:next w:val="Normal"/>
    <w:uiPriority w:val="99"/>
    <w:semiHidden/>
    <w:rsid w:val="0074030F"/>
  </w:style>
  <w:style w:type="paragraph" w:styleId="Bibliography">
    <w:name w:val="Bibliography"/>
    <w:basedOn w:val="TOC1"/>
    <w:next w:val="Normal"/>
    <w:uiPriority w:val="37"/>
    <w:semiHidden/>
    <w:rsid w:val="0074030F"/>
  </w:style>
  <w:style w:type="paragraph" w:styleId="TOC4">
    <w:name w:val="toc 4"/>
    <w:basedOn w:val="TOC1"/>
    <w:next w:val="Normal"/>
    <w:uiPriority w:val="39"/>
    <w:semiHidden/>
    <w:rsid w:val="00DD49DD"/>
    <w:pPr>
      <w:ind w:left="1418"/>
    </w:pPr>
  </w:style>
  <w:style w:type="paragraph" w:styleId="TOC5">
    <w:name w:val="toc 5"/>
    <w:basedOn w:val="TOC1"/>
    <w:next w:val="Normal"/>
    <w:uiPriority w:val="39"/>
    <w:semiHidden/>
    <w:rsid w:val="00DD49DD"/>
    <w:pPr>
      <w:ind w:left="1701"/>
    </w:pPr>
  </w:style>
  <w:style w:type="paragraph" w:styleId="TOC6">
    <w:name w:val="toc 6"/>
    <w:basedOn w:val="TOC1"/>
    <w:next w:val="Normal"/>
    <w:uiPriority w:val="39"/>
    <w:semiHidden/>
    <w:rsid w:val="00DD49DD"/>
    <w:pPr>
      <w:ind w:left="1985"/>
    </w:pPr>
  </w:style>
  <w:style w:type="paragraph" w:styleId="TOC7">
    <w:name w:val="toc 7"/>
    <w:basedOn w:val="TOC1"/>
    <w:next w:val="Normal"/>
    <w:uiPriority w:val="39"/>
    <w:semiHidden/>
    <w:rsid w:val="00DD49DD"/>
    <w:pPr>
      <w:ind w:left="2268"/>
    </w:pPr>
  </w:style>
  <w:style w:type="paragraph" w:styleId="TOC8">
    <w:name w:val="toc 8"/>
    <w:basedOn w:val="TOC1"/>
    <w:next w:val="Normal"/>
    <w:uiPriority w:val="39"/>
    <w:semiHidden/>
    <w:rsid w:val="00DD49DD"/>
    <w:pPr>
      <w:ind w:left="2552"/>
    </w:pPr>
  </w:style>
  <w:style w:type="paragraph" w:styleId="TOC9">
    <w:name w:val="toc 9"/>
    <w:basedOn w:val="TOC1"/>
    <w:next w:val="Normal"/>
    <w:uiPriority w:val="39"/>
    <w:semiHidden/>
    <w:rsid w:val="00DD49DD"/>
    <w:pPr>
      <w:ind w:left="2835"/>
    </w:pPr>
  </w:style>
  <w:style w:type="paragraph" w:styleId="Header">
    <w:name w:val="header"/>
    <w:basedOn w:val="BodyText3"/>
    <w:link w:val="HeaderChar"/>
    <w:uiPriority w:val="99"/>
    <w:semiHidden/>
    <w:rsid w:val="00CE4209"/>
    <w:pPr>
      <w:spacing w:after="0"/>
      <w:contextualSpacing/>
      <w:jc w:val="right"/>
    </w:pPr>
    <w:rPr>
      <w:color w:val="7F7F7F" w:themeColor="text1" w:themeTint="80"/>
    </w:rPr>
  </w:style>
  <w:style w:type="character" w:customStyle="1" w:styleId="HeaderChar">
    <w:name w:val="Header Char"/>
    <w:basedOn w:val="DefaultParagraphFont"/>
    <w:link w:val="Header"/>
    <w:uiPriority w:val="99"/>
    <w:semiHidden/>
    <w:rsid w:val="001D78E5"/>
    <w:rPr>
      <w:color w:val="7F7F7F" w:themeColor="text1" w:themeTint="80"/>
      <w:sz w:val="16"/>
    </w:rPr>
  </w:style>
  <w:style w:type="paragraph" w:styleId="Footer">
    <w:name w:val="footer"/>
    <w:basedOn w:val="Header"/>
    <w:link w:val="FooterChar"/>
    <w:uiPriority w:val="99"/>
    <w:semiHidden/>
    <w:rsid w:val="0074030F"/>
  </w:style>
  <w:style w:type="character" w:customStyle="1" w:styleId="FooterChar">
    <w:name w:val="Footer Char"/>
    <w:basedOn w:val="DefaultParagraphFont"/>
    <w:link w:val="Footer"/>
    <w:uiPriority w:val="99"/>
    <w:semiHidden/>
    <w:rsid w:val="001D78E5"/>
    <w:rPr>
      <w:color w:val="7F7F7F" w:themeColor="text1" w:themeTint="80"/>
      <w:sz w:val="16"/>
    </w:rPr>
  </w:style>
  <w:style w:type="paragraph" w:styleId="BodyText3">
    <w:name w:val="Body Text 3"/>
    <w:basedOn w:val="BodyText"/>
    <w:link w:val="BodyText3Char"/>
    <w:uiPriority w:val="99"/>
    <w:semiHidden/>
    <w:rsid w:val="006C7FF8"/>
    <w:rPr>
      <w:sz w:val="16"/>
    </w:rPr>
  </w:style>
  <w:style w:type="character" w:customStyle="1" w:styleId="BodyText3Char">
    <w:name w:val="Body Text 3 Char"/>
    <w:basedOn w:val="DefaultParagraphFont"/>
    <w:link w:val="BodyText3"/>
    <w:uiPriority w:val="99"/>
    <w:semiHidden/>
    <w:rsid w:val="001D78E5"/>
    <w:rPr>
      <w:sz w:val="16"/>
    </w:rPr>
  </w:style>
  <w:style w:type="paragraph" w:styleId="BodyText">
    <w:name w:val="Body Text"/>
    <w:basedOn w:val="Normal"/>
    <w:link w:val="BodyTextChar"/>
    <w:uiPriority w:val="99"/>
    <w:semiHidden/>
    <w:rsid w:val="0074030F"/>
  </w:style>
  <w:style w:type="character" w:customStyle="1" w:styleId="BodyTextChar">
    <w:name w:val="Body Text Char"/>
    <w:basedOn w:val="DefaultParagraphFont"/>
    <w:link w:val="BodyText"/>
    <w:uiPriority w:val="99"/>
    <w:semiHidden/>
    <w:rsid w:val="001D78E5"/>
    <w:rPr>
      <w:sz w:val="20"/>
    </w:rPr>
  </w:style>
  <w:style w:type="paragraph" w:styleId="BodyText2">
    <w:name w:val="Body Text 2"/>
    <w:basedOn w:val="BodyText"/>
    <w:link w:val="BodyText2Char"/>
    <w:uiPriority w:val="99"/>
    <w:semiHidden/>
    <w:rsid w:val="006C7FF8"/>
    <w:pPr>
      <w:spacing w:line="360" w:lineRule="auto"/>
    </w:pPr>
  </w:style>
  <w:style w:type="character" w:customStyle="1" w:styleId="BodyText2Char">
    <w:name w:val="Body Text 2 Char"/>
    <w:basedOn w:val="DefaultParagraphFont"/>
    <w:link w:val="BodyText2"/>
    <w:uiPriority w:val="99"/>
    <w:semiHidden/>
    <w:rsid w:val="001D78E5"/>
    <w:rPr>
      <w:sz w:val="20"/>
    </w:rPr>
  </w:style>
  <w:style w:type="paragraph" w:styleId="BodyTextFirstIndent">
    <w:name w:val="Body Text First Indent"/>
    <w:basedOn w:val="BodyText"/>
    <w:link w:val="BodyTextFirstIndentChar"/>
    <w:uiPriority w:val="99"/>
    <w:semiHidden/>
    <w:rsid w:val="008C0686"/>
    <w:pPr>
      <w:ind w:firstLine="567"/>
    </w:pPr>
  </w:style>
  <w:style w:type="character" w:customStyle="1" w:styleId="BodyTextFirstIndentChar">
    <w:name w:val="Body Text First Indent Char"/>
    <w:basedOn w:val="BodyTextChar"/>
    <w:link w:val="BodyTextFirstIndent"/>
    <w:uiPriority w:val="99"/>
    <w:semiHidden/>
    <w:rsid w:val="001D78E5"/>
    <w:rPr>
      <w:sz w:val="20"/>
    </w:rPr>
  </w:style>
  <w:style w:type="paragraph" w:styleId="BodyTextIndent">
    <w:name w:val="Body Text Indent"/>
    <w:basedOn w:val="BodyText"/>
    <w:link w:val="BodyTextIndentChar"/>
    <w:uiPriority w:val="99"/>
    <w:semiHidden/>
    <w:rsid w:val="00227F89"/>
    <w:pPr>
      <w:ind w:left="567"/>
    </w:pPr>
  </w:style>
  <w:style w:type="character" w:customStyle="1" w:styleId="BodyTextIndentChar">
    <w:name w:val="Body Text Indent Char"/>
    <w:basedOn w:val="DefaultParagraphFont"/>
    <w:link w:val="BodyTextIndent"/>
    <w:uiPriority w:val="99"/>
    <w:semiHidden/>
    <w:rsid w:val="001D78E5"/>
    <w:rPr>
      <w:sz w:val="20"/>
    </w:rPr>
  </w:style>
  <w:style w:type="paragraph" w:styleId="BodyTextFirstIndent2">
    <w:name w:val="Body Text First Indent 2"/>
    <w:basedOn w:val="BodyText3"/>
    <w:link w:val="BodyTextFirstIndent2Char"/>
    <w:uiPriority w:val="99"/>
    <w:semiHidden/>
    <w:rsid w:val="008C0686"/>
    <w:pPr>
      <w:ind w:firstLine="284"/>
    </w:pPr>
  </w:style>
  <w:style w:type="character" w:customStyle="1" w:styleId="BodyTextFirstIndent2Char">
    <w:name w:val="Body Text First Indent 2 Char"/>
    <w:basedOn w:val="BodyTextIndentChar"/>
    <w:link w:val="BodyTextFirstIndent2"/>
    <w:uiPriority w:val="99"/>
    <w:semiHidden/>
    <w:rsid w:val="001D78E5"/>
    <w:rPr>
      <w:sz w:val="16"/>
    </w:rPr>
  </w:style>
  <w:style w:type="paragraph" w:styleId="BodyTextIndent2">
    <w:name w:val="Body Text Indent 2"/>
    <w:basedOn w:val="BodyText2"/>
    <w:link w:val="BodyTextIndent2Char"/>
    <w:uiPriority w:val="99"/>
    <w:semiHidden/>
    <w:rsid w:val="006C7FF8"/>
    <w:pPr>
      <w:ind w:left="567"/>
    </w:pPr>
  </w:style>
  <w:style w:type="character" w:customStyle="1" w:styleId="BodyTextIndent2Char">
    <w:name w:val="Body Text Indent 2 Char"/>
    <w:basedOn w:val="DefaultParagraphFont"/>
    <w:link w:val="BodyTextIndent2"/>
    <w:uiPriority w:val="99"/>
    <w:semiHidden/>
    <w:rsid w:val="001D78E5"/>
    <w:rPr>
      <w:sz w:val="20"/>
    </w:rPr>
  </w:style>
  <w:style w:type="paragraph" w:styleId="BodyTextIndent3">
    <w:name w:val="Body Text Indent 3"/>
    <w:basedOn w:val="BodyText3"/>
    <w:link w:val="BodyTextIndent3Char"/>
    <w:uiPriority w:val="99"/>
    <w:semiHidden/>
    <w:rsid w:val="008C0686"/>
    <w:pPr>
      <w:ind w:left="284"/>
    </w:pPr>
  </w:style>
  <w:style w:type="character" w:customStyle="1" w:styleId="BodyTextIndent3Char">
    <w:name w:val="Body Text Indent 3 Char"/>
    <w:basedOn w:val="DefaultParagraphFont"/>
    <w:link w:val="BodyTextIndent3"/>
    <w:uiPriority w:val="99"/>
    <w:semiHidden/>
    <w:rsid w:val="001D78E5"/>
    <w:rPr>
      <w:sz w:val="16"/>
    </w:rPr>
  </w:style>
  <w:style w:type="character" w:styleId="CommentReference">
    <w:name w:val="annotation reference"/>
    <w:basedOn w:val="CommentSubjectChar"/>
    <w:uiPriority w:val="99"/>
    <w:semiHidden/>
    <w:rsid w:val="006C7FF8"/>
    <w:rPr>
      <w:b/>
      <w:noProof/>
      <w:sz w:val="16"/>
    </w:rPr>
  </w:style>
  <w:style w:type="paragraph" w:styleId="CommentText">
    <w:name w:val="annotation text"/>
    <w:basedOn w:val="BodyText3"/>
    <w:link w:val="CommentTextChar"/>
    <w:uiPriority w:val="99"/>
    <w:semiHidden/>
    <w:rsid w:val="00DD49DD"/>
    <w:rPr>
      <w:noProof/>
    </w:rPr>
  </w:style>
  <w:style w:type="character" w:customStyle="1" w:styleId="CommentTextChar">
    <w:name w:val="Comment Text Char"/>
    <w:basedOn w:val="DefaultParagraphFont"/>
    <w:link w:val="CommentText"/>
    <w:uiPriority w:val="99"/>
    <w:semiHidden/>
    <w:rsid w:val="001D78E5"/>
    <w:rPr>
      <w:noProof/>
      <w:sz w:val="16"/>
    </w:rPr>
  </w:style>
  <w:style w:type="paragraph" w:styleId="CommentSubject">
    <w:name w:val="annotation subject"/>
    <w:basedOn w:val="CommentText"/>
    <w:next w:val="CommentText"/>
    <w:link w:val="CommentSubjectChar"/>
    <w:uiPriority w:val="99"/>
    <w:semiHidden/>
    <w:rsid w:val="000E1194"/>
    <w:rPr>
      <w:b/>
    </w:rPr>
  </w:style>
  <w:style w:type="character" w:customStyle="1" w:styleId="CommentSubjectChar">
    <w:name w:val="Comment Subject Char"/>
    <w:basedOn w:val="CommentTextChar"/>
    <w:link w:val="CommentSubject"/>
    <w:uiPriority w:val="99"/>
    <w:semiHidden/>
    <w:rsid w:val="001D78E5"/>
    <w:rPr>
      <w:b/>
      <w:noProof/>
      <w:sz w:val="16"/>
    </w:rPr>
  </w:style>
  <w:style w:type="paragraph" w:styleId="BalloonText">
    <w:name w:val="Balloon Text"/>
    <w:basedOn w:val="CommentText"/>
    <w:link w:val="BalloonTextChar"/>
    <w:uiPriority w:val="99"/>
    <w:semiHidden/>
    <w:rsid w:val="000E1194"/>
  </w:style>
  <w:style w:type="character" w:customStyle="1" w:styleId="BalloonTextChar">
    <w:name w:val="Balloon Text Char"/>
    <w:basedOn w:val="DefaultParagraphFont"/>
    <w:link w:val="BalloonText"/>
    <w:uiPriority w:val="99"/>
    <w:semiHidden/>
    <w:rsid w:val="001D78E5"/>
    <w:rPr>
      <w:noProof/>
      <w:sz w:val="16"/>
    </w:rPr>
  </w:style>
  <w:style w:type="paragraph" w:styleId="DocumentMap">
    <w:name w:val="Document Map"/>
    <w:basedOn w:val="BodyText3"/>
    <w:link w:val="DocumentMapChar"/>
    <w:uiPriority w:val="99"/>
    <w:semiHidden/>
    <w:rsid w:val="000E1194"/>
  </w:style>
  <w:style w:type="character" w:customStyle="1" w:styleId="DocumentMapChar">
    <w:name w:val="Document Map Char"/>
    <w:basedOn w:val="DefaultParagraphFont"/>
    <w:link w:val="DocumentMap"/>
    <w:uiPriority w:val="99"/>
    <w:semiHidden/>
    <w:rsid w:val="001D78E5"/>
    <w:rPr>
      <w:sz w:val="16"/>
    </w:rPr>
  </w:style>
  <w:style w:type="paragraph" w:styleId="Closing">
    <w:name w:val="Closing"/>
    <w:basedOn w:val="Normal"/>
    <w:link w:val="ClosingChar"/>
    <w:uiPriority w:val="99"/>
    <w:semiHidden/>
    <w:rsid w:val="000E1194"/>
  </w:style>
  <w:style w:type="character" w:customStyle="1" w:styleId="ClosingChar">
    <w:name w:val="Closing Char"/>
    <w:basedOn w:val="DefaultParagraphFont"/>
    <w:link w:val="Closing"/>
    <w:uiPriority w:val="99"/>
    <w:semiHidden/>
    <w:rsid w:val="001D78E5"/>
    <w:rPr>
      <w:sz w:val="20"/>
    </w:rPr>
  </w:style>
  <w:style w:type="paragraph" w:styleId="EmailSignature">
    <w:name w:val="E-mail Signature"/>
    <w:basedOn w:val="Signature"/>
    <w:link w:val="EmailSignatureChar"/>
    <w:uiPriority w:val="99"/>
    <w:semiHidden/>
    <w:rsid w:val="00BB1312"/>
  </w:style>
  <w:style w:type="character" w:customStyle="1" w:styleId="EmailSignatureChar">
    <w:name w:val="Email Signature Char"/>
    <w:basedOn w:val="DefaultParagraphFont"/>
    <w:link w:val="EmailSignature"/>
    <w:uiPriority w:val="99"/>
    <w:semiHidden/>
    <w:rsid w:val="001D78E5"/>
    <w:rPr>
      <w:sz w:val="20"/>
    </w:rPr>
  </w:style>
  <w:style w:type="paragraph" w:styleId="EndnoteText">
    <w:name w:val="endnote text"/>
    <w:basedOn w:val="FootnoteText"/>
    <w:link w:val="EndnoteTextChar"/>
    <w:uiPriority w:val="99"/>
    <w:semiHidden/>
    <w:rsid w:val="000E1194"/>
  </w:style>
  <w:style w:type="character" w:customStyle="1" w:styleId="EndnoteTextChar">
    <w:name w:val="Endnote Text Char"/>
    <w:basedOn w:val="DefaultParagraphFont"/>
    <w:link w:val="EndnoteText"/>
    <w:uiPriority w:val="99"/>
    <w:semiHidden/>
    <w:rsid w:val="001D78E5"/>
    <w:rPr>
      <w:sz w:val="16"/>
    </w:rPr>
  </w:style>
  <w:style w:type="character" w:styleId="EndnoteReference">
    <w:name w:val="endnote reference"/>
    <w:basedOn w:val="FootnoteReference"/>
    <w:uiPriority w:val="99"/>
    <w:semiHidden/>
    <w:rsid w:val="008C0686"/>
    <w:rPr>
      <w:color w:val="AD003D" w:themeColor="accent1"/>
      <w:sz w:val="20"/>
      <w:vertAlign w:val="superscript"/>
    </w:rPr>
  </w:style>
  <w:style w:type="paragraph" w:styleId="Signature">
    <w:name w:val="Signature"/>
    <w:basedOn w:val="NoSpacing"/>
    <w:link w:val="SignatureChar"/>
    <w:uiPriority w:val="99"/>
    <w:semiHidden/>
    <w:rsid w:val="000A6849"/>
  </w:style>
  <w:style w:type="character" w:customStyle="1" w:styleId="SignatureChar">
    <w:name w:val="Signature Char"/>
    <w:basedOn w:val="DefaultParagraphFont"/>
    <w:link w:val="Signature"/>
    <w:uiPriority w:val="99"/>
    <w:semiHidden/>
    <w:rsid w:val="001D78E5"/>
    <w:rPr>
      <w:sz w:val="20"/>
    </w:rPr>
  </w:style>
  <w:style w:type="paragraph" w:styleId="Salutation">
    <w:name w:val="Salutation"/>
    <w:basedOn w:val="Normal"/>
    <w:next w:val="Normal"/>
    <w:link w:val="SalutationChar"/>
    <w:uiPriority w:val="99"/>
    <w:semiHidden/>
    <w:rsid w:val="000E1194"/>
  </w:style>
  <w:style w:type="character" w:customStyle="1" w:styleId="SalutationChar">
    <w:name w:val="Salutation Char"/>
    <w:basedOn w:val="DefaultParagraphFont"/>
    <w:link w:val="Salutation"/>
    <w:uiPriority w:val="99"/>
    <w:semiHidden/>
    <w:rsid w:val="001D78E5"/>
    <w:rPr>
      <w:sz w:val="20"/>
    </w:rPr>
  </w:style>
  <w:style w:type="character" w:styleId="BookTitle">
    <w:name w:val="Book Title"/>
    <w:uiPriority w:val="33"/>
    <w:unhideWhenUsed/>
    <w:rsid w:val="00227F89"/>
    <w:rPr>
      <w:i/>
    </w:rPr>
  </w:style>
  <w:style w:type="character" w:styleId="IntenseReference">
    <w:name w:val="Intense Reference"/>
    <w:basedOn w:val="SubtleReference"/>
    <w:uiPriority w:val="32"/>
    <w:semiHidden/>
    <w:rsid w:val="005424C3"/>
    <w:rPr>
      <w:i/>
      <w:color w:val="AD003D" w:themeColor="accent1"/>
    </w:rPr>
  </w:style>
  <w:style w:type="character" w:styleId="SubtleReference">
    <w:name w:val="Subtle Reference"/>
    <w:basedOn w:val="BookTitle"/>
    <w:uiPriority w:val="31"/>
    <w:semiHidden/>
    <w:rsid w:val="005424C3"/>
    <w:rPr>
      <w:i/>
      <w:color w:val="7F7F7F" w:themeColor="text1" w:themeTint="80"/>
    </w:rPr>
  </w:style>
  <w:style w:type="paragraph" w:styleId="Index1">
    <w:name w:val="index 1"/>
    <w:basedOn w:val="TOC1"/>
    <w:next w:val="Normal"/>
    <w:autoRedefine/>
    <w:uiPriority w:val="99"/>
    <w:semiHidden/>
    <w:rsid w:val="00BB1312"/>
    <w:pPr>
      <w:tabs>
        <w:tab w:val="clear" w:pos="9639"/>
        <w:tab w:val="right" w:leader="dot" w:pos="9628"/>
      </w:tabs>
    </w:pPr>
  </w:style>
  <w:style w:type="paragraph" w:styleId="IndexHeading">
    <w:name w:val="index heading"/>
    <w:basedOn w:val="Heading1BodyText"/>
    <w:next w:val="Index1"/>
    <w:uiPriority w:val="99"/>
    <w:semiHidden/>
    <w:rsid w:val="005424C3"/>
  </w:style>
  <w:style w:type="paragraph" w:styleId="EnvelopeAddress">
    <w:name w:val="envelope address"/>
    <w:basedOn w:val="Normal"/>
    <w:uiPriority w:val="99"/>
    <w:semiHidden/>
    <w:rsid w:val="00BB1312"/>
    <w:pPr>
      <w:framePr w:hSpace="567" w:wrap="notBeside" w:vAnchor="text" w:hAnchor="text" w:xAlign="right" w:y="1" w:anchorLock="1"/>
      <w:contextualSpacing/>
    </w:pPr>
  </w:style>
  <w:style w:type="paragraph" w:styleId="EnvelopeReturn">
    <w:name w:val="envelope return"/>
    <w:basedOn w:val="EnvelopeAddress"/>
    <w:uiPriority w:val="99"/>
    <w:semiHidden/>
    <w:rsid w:val="006C7FF8"/>
    <w:pPr>
      <w:framePr w:wrap="notBeside"/>
    </w:pPr>
  </w:style>
  <w:style w:type="character" w:styleId="HTMLAcronym">
    <w:name w:val="HTML Acronym"/>
    <w:basedOn w:val="BookTitle"/>
    <w:uiPriority w:val="99"/>
    <w:semiHidden/>
    <w:rsid w:val="008C0686"/>
    <w:rPr>
      <w:i/>
    </w:rPr>
  </w:style>
  <w:style w:type="paragraph" w:styleId="HTMLAddress">
    <w:name w:val="HTML Address"/>
    <w:basedOn w:val="Normal"/>
    <w:link w:val="HTMLAddressChar"/>
    <w:uiPriority w:val="99"/>
    <w:semiHidden/>
    <w:rsid w:val="00BB1312"/>
    <w:rPr>
      <w:rFonts w:ascii="Arial Narrow" w:hAnsi="Arial Narrow"/>
      <w:color w:val="5E3482" w:themeColor="accent2"/>
    </w:rPr>
  </w:style>
  <w:style w:type="character" w:customStyle="1" w:styleId="HTMLAddressChar">
    <w:name w:val="HTML Address Char"/>
    <w:basedOn w:val="DefaultParagraphFont"/>
    <w:link w:val="HTMLAddress"/>
    <w:uiPriority w:val="99"/>
    <w:semiHidden/>
    <w:rsid w:val="001D78E5"/>
    <w:rPr>
      <w:rFonts w:ascii="Arial Narrow" w:hAnsi="Arial Narrow"/>
      <w:color w:val="5E3482" w:themeColor="accent2"/>
      <w:sz w:val="20"/>
    </w:rPr>
  </w:style>
  <w:style w:type="character" w:styleId="HTMLCite">
    <w:name w:val="HTML Cite"/>
    <w:basedOn w:val="BookTitle"/>
    <w:uiPriority w:val="99"/>
    <w:semiHidden/>
    <w:rsid w:val="008C0686"/>
    <w:rPr>
      <w:i/>
    </w:rPr>
  </w:style>
  <w:style w:type="paragraph" w:styleId="PlainText">
    <w:name w:val="Plain Text"/>
    <w:basedOn w:val="Normal"/>
    <w:link w:val="PlainTextChar"/>
    <w:uiPriority w:val="99"/>
    <w:semiHidden/>
    <w:rsid w:val="00C96A49"/>
    <w:rPr>
      <w:rFonts w:ascii="Source Code Pro" w:hAnsi="Source Code Pro"/>
      <w:lang w:eastAsia="en-GB"/>
    </w:rPr>
  </w:style>
  <w:style w:type="character" w:customStyle="1" w:styleId="PlainTextChar">
    <w:name w:val="Plain Text Char"/>
    <w:basedOn w:val="DefaultParagraphFont"/>
    <w:link w:val="PlainText"/>
    <w:uiPriority w:val="99"/>
    <w:semiHidden/>
    <w:rsid w:val="00C96A49"/>
    <w:rPr>
      <w:rFonts w:ascii="Source Code Pro" w:hAnsi="Source Code Pro"/>
      <w:kern w:val="20"/>
      <w:sz w:val="20"/>
      <w:lang w:eastAsia="en-GB"/>
      <w14:ligatures w14:val="standardContextual"/>
      <w14:numForm w14:val="lining"/>
      <w14:numSpacing w14:val="tabular"/>
      <w14:cntxtAlts/>
    </w:rPr>
  </w:style>
  <w:style w:type="paragraph" w:styleId="MacroText">
    <w:name w:val="macro"/>
    <w:basedOn w:val="PlainText"/>
    <w:link w:val="MacroTextChar"/>
    <w:uiPriority w:val="99"/>
    <w:semiHidden/>
    <w:rsid w:val="008C0686"/>
  </w:style>
  <w:style w:type="character" w:customStyle="1" w:styleId="MacroTextChar">
    <w:name w:val="Macro Text Char"/>
    <w:basedOn w:val="DefaultParagraphFont"/>
    <w:link w:val="MacroText"/>
    <w:uiPriority w:val="99"/>
    <w:semiHidden/>
    <w:rsid w:val="001D78E5"/>
    <w:rPr>
      <w:rFonts w:ascii="Consolas" w:hAnsi="Consolas"/>
      <w:sz w:val="20"/>
      <w:lang w:eastAsia="en-GB"/>
    </w:rPr>
  </w:style>
  <w:style w:type="character" w:styleId="HTMLCode">
    <w:name w:val="HTML Code"/>
    <w:basedOn w:val="PlainTextChar"/>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Sample">
    <w:name w:val="HTML Sample"/>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Typewriter">
    <w:name w:val="HTML Typewriter"/>
    <w:basedOn w:val="HTMLKeyboard"/>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Keyboard">
    <w:name w:val="HTML Keyboard"/>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paragraph" w:styleId="HTMLPreformatted">
    <w:name w:val="HTML Preformatted"/>
    <w:basedOn w:val="PlainText"/>
    <w:link w:val="HTMLPreformattedChar"/>
    <w:uiPriority w:val="99"/>
    <w:semiHidden/>
    <w:rsid w:val="006C7FF8"/>
  </w:style>
  <w:style w:type="character" w:customStyle="1" w:styleId="HTMLPreformattedChar">
    <w:name w:val="HTML Preformatted Char"/>
    <w:basedOn w:val="DefaultParagraphFont"/>
    <w:link w:val="HTMLPreformatted"/>
    <w:uiPriority w:val="99"/>
    <w:semiHidden/>
    <w:rsid w:val="001D78E5"/>
    <w:rPr>
      <w:rFonts w:ascii="Consolas" w:hAnsi="Consolas"/>
      <w:sz w:val="20"/>
      <w:lang w:eastAsia="en-GB"/>
    </w:rPr>
  </w:style>
  <w:style w:type="character" w:styleId="HTMLVariable">
    <w:name w:val="HTML Variable"/>
    <w:basedOn w:val="HTMLCode"/>
    <w:uiPriority w:val="99"/>
    <w:semiHidden/>
    <w:rsid w:val="00C96A49"/>
    <w:rPr>
      <w:rFonts w:ascii="Source Code Pro" w:hAnsi="Source Code Pro"/>
      <w:noProof/>
      <w:color w:val="AD003D" w:themeColor="accent1"/>
      <w:kern w:val="20"/>
      <w:sz w:val="20"/>
      <w:lang w:val="en-GB" w:eastAsia="en-GB"/>
      <w14:ligatures w14:val="standardContextual"/>
      <w14:numForm w14:val="lining"/>
      <w14:numSpacing w14:val="tabular"/>
      <w14:cntxtAlts/>
    </w:rPr>
  </w:style>
  <w:style w:type="paragraph" w:styleId="NormalIndent">
    <w:name w:val="Normal Indent"/>
    <w:basedOn w:val="BodyTextIndent"/>
    <w:uiPriority w:val="99"/>
    <w:semiHidden/>
    <w:rsid w:val="006C7FF8"/>
  </w:style>
  <w:style w:type="paragraph" w:styleId="Date">
    <w:name w:val="Date"/>
    <w:basedOn w:val="Normal"/>
    <w:next w:val="Normal"/>
    <w:link w:val="DateChar"/>
    <w:uiPriority w:val="99"/>
    <w:semiHidden/>
    <w:rsid w:val="006C7FF8"/>
  </w:style>
  <w:style w:type="character" w:customStyle="1" w:styleId="DateChar">
    <w:name w:val="Date Char"/>
    <w:basedOn w:val="DefaultParagraphFont"/>
    <w:link w:val="Date"/>
    <w:uiPriority w:val="99"/>
    <w:semiHidden/>
    <w:rsid w:val="001D78E5"/>
    <w:rPr>
      <w:sz w:val="20"/>
    </w:rPr>
  </w:style>
  <w:style w:type="character" w:styleId="FollowedHyperlink">
    <w:name w:val="FollowedHyperlink"/>
    <w:basedOn w:val="DefaultParagraphFont"/>
    <w:uiPriority w:val="99"/>
    <w:semiHidden/>
    <w:rsid w:val="00BB1312"/>
    <w:rPr>
      <w:color w:val="0D5A4A" w:themeColor="followedHyperlink"/>
      <w:u w:val="none"/>
    </w:rPr>
  </w:style>
  <w:style w:type="paragraph" w:styleId="Index2">
    <w:name w:val="index 2"/>
    <w:basedOn w:val="TOC2"/>
    <w:next w:val="Normal"/>
    <w:autoRedefine/>
    <w:uiPriority w:val="99"/>
    <w:semiHidden/>
    <w:rsid w:val="00BB1312"/>
    <w:pPr>
      <w:tabs>
        <w:tab w:val="clear" w:pos="9639"/>
        <w:tab w:val="right" w:leader="dot" w:pos="9628"/>
      </w:tabs>
    </w:pPr>
  </w:style>
  <w:style w:type="paragraph" w:styleId="Index3">
    <w:name w:val="index 3"/>
    <w:basedOn w:val="TOC3"/>
    <w:next w:val="Normal"/>
    <w:autoRedefine/>
    <w:uiPriority w:val="99"/>
    <w:semiHidden/>
    <w:rsid w:val="00BB1312"/>
    <w:pPr>
      <w:tabs>
        <w:tab w:val="clear" w:pos="9639"/>
        <w:tab w:val="right" w:leader="dot" w:pos="9628"/>
      </w:tabs>
    </w:pPr>
  </w:style>
  <w:style w:type="paragraph" w:styleId="Index4">
    <w:name w:val="index 4"/>
    <w:basedOn w:val="TOC4"/>
    <w:next w:val="Normal"/>
    <w:autoRedefine/>
    <w:uiPriority w:val="99"/>
    <w:semiHidden/>
    <w:rsid w:val="00BB1312"/>
    <w:pPr>
      <w:tabs>
        <w:tab w:val="clear" w:pos="9639"/>
        <w:tab w:val="right" w:leader="dot" w:pos="9628"/>
      </w:tabs>
    </w:pPr>
  </w:style>
  <w:style w:type="paragraph" w:styleId="Index5">
    <w:name w:val="index 5"/>
    <w:basedOn w:val="TOC5"/>
    <w:next w:val="Normal"/>
    <w:autoRedefine/>
    <w:uiPriority w:val="99"/>
    <w:semiHidden/>
    <w:rsid w:val="00BB1312"/>
    <w:pPr>
      <w:tabs>
        <w:tab w:val="clear" w:pos="9639"/>
        <w:tab w:val="right" w:leader="dot" w:pos="9628"/>
      </w:tabs>
    </w:pPr>
  </w:style>
  <w:style w:type="paragraph" w:styleId="Index6">
    <w:name w:val="index 6"/>
    <w:basedOn w:val="TOC6"/>
    <w:next w:val="Normal"/>
    <w:autoRedefine/>
    <w:uiPriority w:val="99"/>
    <w:semiHidden/>
    <w:rsid w:val="00BB1312"/>
    <w:pPr>
      <w:tabs>
        <w:tab w:val="clear" w:pos="9639"/>
        <w:tab w:val="right" w:leader="dot" w:pos="9628"/>
      </w:tabs>
    </w:pPr>
  </w:style>
  <w:style w:type="paragraph" w:styleId="Index7">
    <w:name w:val="index 7"/>
    <w:basedOn w:val="TOC7"/>
    <w:next w:val="Normal"/>
    <w:autoRedefine/>
    <w:uiPriority w:val="99"/>
    <w:semiHidden/>
    <w:rsid w:val="00BB1312"/>
    <w:pPr>
      <w:tabs>
        <w:tab w:val="clear" w:pos="9639"/>
        <w:tab w:val="right" w:leader="dot" w:pos="9628"/>
      </w:tabs>
    </w:pPr>
  </w:style>
  <w:style w:type="paragraph" w:styleId="Index8">
    <w:name w:val="index 8"/>
    <w:basedOn w:val="TOC8"/>
    <w:next w:val="Normal"/>
    <w:autoRedefine/>
    <w:uiPriority w:val="99"/>
    <w:semiHidden/>
    <w:rsid w:val="00BB1312"/>
    <w:pPr>
      <w:tabs>
        <w:tab w:val="clear" w:pos="9639"/>
        <w:tab w:val="right" w:leader="dot" w:pos="9628"/>
      </w:tabs>
    </w:pPr>
  </w:style>
  <w:style w:type="paragraph" w:styleId="Index9">
    <w:name w:val="index 9"/>
    <w:basedOn w:val="TOC9"/>
    <w:next w:val="Normal"/>
    <w:autoRedefine/>
    <w:uiPriority w:val="99"/>
    <w:semiHidden/>
    <w:rsid w:val="00BB1312"/>
    <w:pPr>
      <w:tabs>
        <w:tab w:val="clear" w:pos="9639"/>
        <w:tab w:val="right" w:leader="dot" w:pos="9628"/>
      </w:tabs>
    </w:pPr>
  </w:style>
  <w:style w:type="character" w:styleId="LineNumber">
    <w:name w:val="line number"/>
    <w:basedOn w:val="PageNumber"/>
    <w:uiPriority w:val="99"/>
    <w:semiHidden/>
    <w:rsid w:val="00BB1312"/>
    <w:rPr>
      <w:color w:val="auto"/>
      <w:sz w:val="16"/>
    </w:rPr>
  </w:style>
  <w:style w:type="character" w:styleId="Emphasis">
    <w:name w:val="Emphasis"/>
    <w:basedOn w:val="DefaultParagraphFont"/>
    <w:uiPriority w:val="20"/>
    <w:rsid w:val="00BB1312"/>
    <w:rPr>
      <w:i/>
      <w:iCs/>
    </w:rPr>
  </w:style>
  <w:style w:type="character" w:styleId="PageNumber">
    <w:name w:val="page number"/>
    <w:basedOn w:val="FooterChar"/>
    <w:uiPriority w:val="99"/>
    <w:semiHidden/>
    <w:rsid w:val="00CE4209"/>
    <w:rPr>
      <w:color w:val="auto"/>
      <w:sz w:val="16"/>
    </w:rPr>
  </w:style>
  <w:style w:type="paragraph" w:styleId="List">
    <w:name w:val="List"/>
    <w:basedOn w:val="ListParagraph"/>
    <w:uiPriority w:val="99"/>
    <w:semiHidden/>
    <w:rsid w:val="00BB1312"/>
  </w:style>
  <w:style w:type="paragraph" w:styleId="List2">
    <w:name w:val="List 2"/>
    <w:basedOn w:val="List"/>
    <w:uiPriority w:val="99"/>
    <w:semiHidden/>
    <w:rsid w:val="00CC7BFE"/>
    <w:pPr>
      <w:ind w:left="1134"/>
    </w:pPr>
  </w:style>
  <w:style w:type="paragraph" w:styleId="List3">
    <w:name w:val="List 3"/>
    <w:basedOn w:val="List"/>
    <w:uiPriority w:val="99"/>
    <w:semiHidden/>
    <w:rsid w:val="00CC7BFE"/>
    <w:pPr>
      <w:ind w:left="1701"/>
    </w:pPr>
  </w:style>
  <w:style w:type="paragraph" w:styleId="List4">
    <w:name w:val="List 4"/>
    <w:basedOn w:val="List"/>
    <w:uiPriority w:val="99"/>
    <w:semiHidden/>
    <w:rsid w:val="00CC7BFE"/>
    <w:pPr>
      <w:ind w:left="2268"/>
    </w:pPr>
  </w:style>
  <w:style w:type="paragraph" w:styleId="List5">
    <w:name w:val="List 5"/>
    <w:basedOn w:val="List"/>
    <w:uiPriority w:val="99"/>
    <w:semiHidden/>
    <w:rsid w:val="00CC7BFE"/>
    <w:pPr>
      <w:ind w:left="2835"/>
    </w:pPr>
  </w:style>
  <w:style w:type="paragraph" w:styleId="ListBullet">
    <w:name w:val="List Bullet"/>
    <w:basedOn w:val="ListParagraph"/>
    <w:uiPriority w:val="99"/>
    <w:semiHidden/>
    <w:rsid w:val="00CC7BFE"/>
    <w:pPr>
      <w:numPr>
        <w:numId w:val="13"/>
      </w:numPr>
    </w:pPr>
  </w:style>
  <w:style w:type="paragraph" w:styleId="ListBullet2">
    <w:name w:val="List Bullet 2"/>
    <w:basedOn w:val="ListBullet"/>
    <w:uiPriority w:val="99"/>
    <w:semiHidden/>
    <w:rsid w:val="00CC7BFE"/>
    <w:pPr>
      <w:numPr>
        <w:ilvl w:val="1"/>
      </w:numPr>
    </w:pPr>
  </w:style>
  <w:style w:type="paragraph" w:styleId="ListBullet3">
    <w:name w:val="List Bullet 3"/>
    <w:basedOn w:val="ListBullet2"/>
    <w:uiPriority w:val="99"/>
    <w:semiHidden/>
    <w:rsid w:val="00CC7BFE"/>
    <w:pPr>
      <w:numPr>
        <w:ilvl w:val="2"/>
      </w:numPr>
    </w:pPr>
  </w:style>
  <w:style w:type="paragraph" w:styleId="ListBullet4">
    <w:name w:val="List Bullet 4"/>
    <w:basedOn w:val="ListBullet3"/>
    <w:uiPriority w:val="99"/>
    <w:semiHidden/>
    <w:rsid w:val="00CC7BFE"/>
    <w:pPr>
      <w:numPr>
        <w:ilvl w:val="3"/>
      </w:numPr>
    </w:pPr>
  </w:style>
  <w:style w:type="paragraph" w:styleId="ListBullet5">
    <w:name w:val="List Bullet 5"/>
    <w:basedOn w:val="ListBullet4"/>
    <w:uiPriority w:val="99"/>
    <w:semiHidden/>
    <w:rsid w:val="00CC7BFE"/>
    <w:pPr>
      <w:numPr>
        <w:ilvl w:val="4"/>
      </w:numPr>
    </w:pPr>
  </w:style>
  <w:style w:type="paragraph" w:styleId="ListContinue">
    <w:name w:val="List Continue"/>
    <w:basedOn w:val="List"/>
    <w:uiPriority w:val="99"/>
    <w:semiHidden/>
    <w:rsid w:val="00BB1312"/>
  </w:style>
  <w:style w:type="paragraph" w:styleId="ListContinue2">
    <w:name w:val="List Continue 2"/>
    <w:basedOn w:val="List2"/>
    <w:uiPriority w:val="99"/>
    <w:semiHidden/>
    <w:rsid w:val="00BB1312"/>
  </w:style>
  <w:style w:type="paragraph" w:styleId="ListContinue3">
    <w:name w:val="List Continue 3"/>
    <w:basedOn w:val="List3"/>
    <w:uiPriority w:val="99"/>
    <w:semiHidden/>
    <w:rsid w:val="00CC7BFE"/>
  </w:style>
  <w:style w:type="paragraph" w:styleId="ListContinue4">
    <w:name w:val="List Continue 4"/>
    <w:basedOn w:val="List4"/>
    <w:uiPriority w:val="99"/>
    <w:semiHidden/>
    <w:rsid w:val="00CC7BFE"/>
  </w:style>
  <w:style w:type="paragraph" w:styleId="ListContinue5">
    <w:name w:val="List Continue 5"/>
    <w:basedOn w:val="List5"/>
    <w:uiPriority w:val="99"/>
    <w:semiHidden/>
    <w:rsid w:val="00CC7BFE"/>
  </w:style>
  <w:style w:type="paragraph" w:styleId="ListNumber">
    <w:name w:val="List Number"/>
    <w:basedOn w:val="ListParagraph"/>
    <w:uiPriority w:val="99"/>
    <w:semiHidden/>
    <w:rsid w:val="00CC7BFE"/>
    <w:pPr>
      <w:numPr>
        <w:numId w:val="14"/>
      </w:numPr>
    </w:pPr>
  </w:style>
  <w:style w:type="paragraph" w:styleId="ListNumber2">
    <w:name w:val="List Number 2"/>
    <w:basedOn w:val="ListNumber"/>
    <w:uiPriority w:val="99"/>
    <w:semiHidden/>
    <w:rsid w:val="00CC7BFE"/>
    <w:pPr>
      <w:numPr>
        <w:ilvl w:val="1"/>
      </w:numPr>
    </w:pPr>
  </w:style>
  <w:style w:type="paragraph" w:styleId="ListNumber3">
    <w:name w:val="List Number 3"/>
    <w:basedOn w:val="ListNumber2"/>
    <w:uiPriority w:val="99"/>
    <w:semiHidden/>
    <w:rsid w:val="00CC7BFE"/>
    <w:pPr>
      <w:numPr>
        <w:ilvl w:val="2"/>
      </w:numPr>
    </w:pPr>
  </w:style>
  <w:style w:type="paragraph" w:styleId="ListNumber4">
    <w:name w:val="List Number 4"/>
    <w:basedOn w:val="ListNumber3"/>
    <w:uiPriority w:val="99"/>
    <w:semiHidden/>
    <w:rsid w:val="00CC7BFE"/>
    <w:pPr>
      <w:numPr>
        <w:ilvl w:val="3"/>
      </w:numPr>
    </w:pPr>
  </w:style>
  <w:style w:type="paragraph" w:styleId="ListNumber5">
    <w:name w:val="List Number 5"/>
    <w:basedOn w:val="ListNumber4"/>
    <w:uiPriority w:val="99"/>
    <w:semiHidden/>
    <w:rsid w:val="00CC7BFE"/>
    <w:pPr>
      <w:numPr>
        <w:ilvl w:val="4"/>
      </w:numPr>
    </w:pPr>
  </w:style>
  <w:style w:type="paragraph" w:styleId="MessageHeader">
    <w:name w:val="Message Header"/>
    <w:basedOn w:val="Heading1BodyText"/>
    <w:link w:val="MessageHeaderChar"/>
    <w:uiPriority w:val="99"/>
    <w:semiHidden/>
    <w:rsid w:val="005424C3"/>
  </w:style>
  <w:style w:type="character" w:customStyle="1" w:styleId="MessageHeaderChar">
    <w:name w:val="Message Header Char"/>
    <w:basedOn w:val="DefaultParagraphFont"/>
    <w:link w:val="MessageHeader"/>
    <w:uiPriority w:val="99"/>
    <w:semiHidden/>
    <w:rsid w:val="001D78E5"/>
    <w:rPr>
      <w:rFonts w:asciiTheme="majorHAnsi" w:hAnsiTheme="majorHAnsi"/>
      <w:color w:val="870034" w:themeColor="text2"/>
      <w:sz w:val="40"/>
    </w:rPr>
  </w:style>
  <w:style w:type="paragraph" w:styleId="NormalWeb">
    <w:name w:val="Normal (Web)"/>
    <w:basedOn w:val="Normal"/>
    <w:uiPriority w:val="99"/>
    <w:semiHidden/>
    <w:rsid w:val="005424C3"/>
    <w:rPr>
      <w:rFonts w:ascii="Tahoma" w:hAnsi="Tahoma"/>
    </w:rPr>
  </w:style>
  <w:style w:type="paragraph" w:styleId="NoteHeading">
    <w:name w:val="Note Heading"/>
    <w:basedOn w:val="Heading1BodyText"/>
    <w:next w:val="Normal"/>
    <w:link w:val="NoteHeadingChar"/>
    <w:uiPriority w:val="99"/>
    <w:semiHidden/>
    <w:rsid w:val="005424C3"/>
  </w:style>
  <w:style w:type="character" w:customStyle="1" w:styleId="NoteHeadingChar">
    <w:name w:val="Note Heading Char"/>
    <w:basedOn w:val="DefaultParagraphFont"/>
    <w:link w:val="NoteHeading"/>
    <w:uiPriority w:val="99"/>
    <w:semiHidden/>
    <w:rsid w:val="001D78E5"/>
    <w:rPr>
      <w:rFonts w:asciiTheme="majorHAnsi" w:hAnsiTheme="majorHAnsi"/>
      <w:color w:val="870034" w:themeColor="text2"/>
      <w:sz w:val="40"/>
    </w:rPr>
  </w:style>
  <w:style w:type="paragraph" w:customStyle="1" w:styleId="Heading1BodyText">
    <w:name w:val="Heading 1 (Body Text)"/>
    <w:basedOn w:val="Heading1"/>
    <w:next w:val="Normal"/>
    <w:uiPriority w:val="10"/>
    <w:semiHidden/>
    <w:rsid w:val="005424C3"/>
    <w:pPr>
      <w:outlineLvl w:val="9"/>
    </w:pPr>
  </w:style>
  <w:style w:type="character" w:styleId="Mention">
    <w:name w:val="Mention"/>
    <w:uiPriority w:val="99"/>
    <w:semiHidden/>
    <w:rsid w:val="005424C3"/>
  </w:style>
  <w:style w:type="character" w:styleId="SmartHyperlink">
    <w:name w:val="Smart Hyperlink"/>
    <w:basedOn w:val="Hyperlink"/>
    <w:uiPriority w:val="99"/>
    <w:semiHidden/>
    <w:rsid w:val="005424C3"/>
    <w:rPr>
      <w:color w:val="0D5A4A" w:themeColor="hyperlink"/>
      <w:u w:val="none" w:color="3D8B7A"/>
    </w:rPr>
  </w:style>
  <w:style w:type="table" w:styleId="GridTable2-Accent1">
    <w:name w:val="Grid Table 2 Accent 1"/>
    <w:basedOn w:val="TableNormal"/>
    <w:uiPriority w:val="47"/>
    <w:rsid w:val="00C96A49"/>
    <w:pPr>
      <w:spacing w:after="0" w:line="240" w:lineRule="auto"/>
    </w:pPr>
    <w:tblPr>
      <w:tblStyleRowBandSize w:val="1"/>
      <w:tblStyleColBandSize w:val="1"/>
      <w:tblBorders>
        <w:top w:val="single" w:sz="2" w:space="0" w:color="FF347B" w:themeColor="accent1" w:themeTint="99"/>
        <w:bottom w:val="single" w:sz="2" w:space="0" w:color="FF347B" w:themeColor="accent1" w:themeTint="99"/>
        <w:insideH w:val="single" w:sz="2" w:space="0" w:color="FF347B" w:themeColor="accent1" w:themeTint="99"/>
        <w:insideV w:val="single" w:sz="2" w:space="0" w:color="FF347B" w:themeColor="accent1" w:themeTint="99"/>
      </w:tblBorders>
    </w:tblPr>
    <w:tblStylePr w:type="firstRow">
      <w:rPr>
        <w:b/>
        <w:bCs/>
      </w:rPr>
      <w:tblPr/>
      <w:tcPr>
        <w:tcBorders>
          <w:top w:val="nil"/>
          <w:bottom w:val="single" w:sz="12" w:space="0" w:color="FF347B" w:themeColor="accent1" w:themeTint="99"/>
          <w:insideH w:val="nil"/>
          <w:insideV w:val="nil"/>
        </w:tcBorders>
        <w:shd w:val="clear" w:color="auto" w:fill="FFFFFF" w:themeFill="background1"/>
      </w:tcPr>
    </w:tblStylePr>
    <w:tblStylePr w:type="lastRow">
      <w:rPr>
        <w:b/>
        <w:bCs/>
      </w:rPr>
      <w:tblPr/>
      <w:tcPr>
        <w:tcBorders>
          <w:top w:val="double" w:sz="2" w:space="0" w:color="FF34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BD2" w:themeFill="accent1" w:themeFillTint="33"/>
      </w:tcPr>
    </w:tblStylePr>
    <w:tblStylePr w:type="band1Horz">
      <w:tblPr/>
      <w:tcPr>
        <w:shd w:val="clear" w:color="auto" w:fill="FFBBD2" w:themeFill="accent1" w:themeFillTint="33"/>
      </w:tcPr>
    </w:tblStylePr>
  </w:style>
  <w:style w:type="character" w:styleId="PlaceholderText">
    <w:name w:val="Placeholder Text"/>
    <w:basedOn w:val="DefaultParagraphFont"/>
    <w:uiPriority w:val="99"/>
    <w:semiHidden/>
    <w:rsid w:val="00CE4209"/>
    <w:rPr>
      <w:color w:val="808080"/>
    </w:rPr>
  </w:style>
  <w:style w:type="numbering" w:customStyle="1" w:styleId="OrderedList">
    <w:name w:val="Ordered List"/>
    <w:uiPriority w:val="99"/>
    <w:rsid w:val="005F6BCF"/>
    <w:pPr>
      <w:numPr>
        <w:numId w:val="25"/>
      </w:numPr>
    </w:pPr>
  </w:style>
  <w:style w:type="numbering" w:customStyle="1" w:styleId="UnorderedList">
    <w:name w:val="Unordered List"/>
    <w:uiPriority w:val="99"/>
    <w:rsid w:val="005F6BCF"/>
    <w:pPr>
      <w:numPr>
        <w:numId w:val="27"/>
      </w:numPr>
    </w:pPr>
  </w:style>
  <w:style w:type="table" w:styleId="GridTable5Dark-Accent6">
    <w:name w:val="Grid Table 5 Dark Accent 6"/>
    <w:basedOn w:val="TableNormal"/>
    <w:uiPriority w:val="50"/>
    <w:rsid w:val="00C96A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8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91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91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91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912D" w:themeFill="accent6"/>
      </w:tcPr>
    </w:tblStylePr>
    <w:tblStylePr w:type="band1Vert">
      <w:tblPr/>
      <w:tcPr>
        <w:shd w:val="clear" w:color="auto" w:fill="F7D2AB" w:themeFill="accent6" w:themeFillTint="66"/>
      </w:tcPr>
    </w:tblStylePr>
    <w:tblStylePr w:type="band1Horz">
      <w:tblPr/>
      <w:tcPr>
        <w:shd w:val="clear" w:color="auto" w:fill="F7D2AB" w:themeFill="accent6" w:themeFillTint="66"/>
      </w:tcPr>
    </w:tblStylePr>
  </w:style>
  <w:style w:type="table" w:styleId="ListTable1Light">
    <w:name w:val="List Table 1 Light"/>
    <w:basedOn w:val="TableNormal"/>
    <w:uiPriority w:val="46"/>
    <w:rsid w:val="00C96A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
    <w:name w:val="List Table 6 Colorful"/>
    <w:basedOn w:val="TableNormal"/>
    <w:uiPriority w:val="51"/>
    <w:rsid w:val="00C96A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5">
    <w:name w:val="List Table 7 Colorful Accent 5"/>
    <w:basedOn w:val="TableNormal"/>
    <w:uiPriority w:val="52"/>
    <w:rsid w:val="00C96A49"/>
    <w:pPr>
      <w:spacing w:after="0" w:line="240" w:lineRule="auto"/>
    </w:pPr>
    <w:rPr>
      <w:color w:val="0B65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88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88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88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8852" w:themeColor="accent5"/>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96A49"/>
    <w:pPr>
      <w:spacing w:after="0" w:line="240" w:lineRule="auto"/>
    </w:pPr>
    <w:rPr>
      <w:color w:val="81002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00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00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00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003D" w:themeColor="accent1"/>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96A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96A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96A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uiPriority w:val="38"/>
    <w:rsid w:val="008A16A1"/>
    <w:pPr>
      <w:spacing w:after="60" w:line="240" w:lineRule="auto"/>
    </w:pPr>
    <w:rPr>
      <w:sz w:val="19"/>
    </w:rPr>
  </w:style>
  <w:style w:type="character" w:styleId="UnresolvedMention">
    <w:name w:val="Unresolved Mention"/>
    <w:basedOn w:val="DefaultParagraphFont"/>
    <w:uiPriority w:val="99"/>
    <w:semiHidden/>
    <w:unhideWhenUsed/>
    <w:rsid w:val="00D7094D"/>
    <w:rPr>
      <w:color w:val="605E5C"/>
      <w:shd w:val="clear" w:color="auto" w:fill="E1DFDD"/>
    </w:rPr>
  </w:style>
  <w:style w:type="table" w:customStyle="1" w:styleId="Box">
    <w:name w:val="Box"/>
    <w:basedOn w:val="TableGrid"/>
    <w:uiPriority w:val="99"/>
    <w:rsid w:val="006D577B"/>
    <w:pPr>
      <w:spacing w:before="120" w:after="40" w:line="312" w:lineRule="auto"/>
    </w:pPr>
    <w:tblPr>
      <w:tbl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one" w:sz="0" w:space="0" w:color="auto"/>
        <w:insideV w:val="none" w:sz="0" w:space="0" w:color="auto"/>
      </w:tblBorders>
      <w:tblCellMar>
        <w:top w:w="113" w:type="dxa"/>
        <w:left w:w="284" w:type="dxa"/>
        <w:bottom w:w="113" w:type="dxa"/>
        <w:right w:w="284" w:type="dxa"/>
      </w:tblCellMar>
    </w:tblPr>
    <w:tblStylePr w:type="firstRow">
      <w:pPr>
        <w:keepNext/>
        <w:wordWrap/>
      </w:pPr>
      <w:rPr>
        <w:rFonts w:asciiTheme="minorHAnsi" w:hAnsiTheme="minorHAnsi"/>
        <w:b w:val="0"/>
      </w:rPr>
      <w:tblPr/>
      <w:tcPr>
        <w:tcBorders>
          <w:bottom w:val="nil"/>
        </w:tcBorders>
        <w:shd w:val="clear" w:color="auto" w:fill="F0EDE8" w:themeFill="background2"/>
      </w:tcPr>
    </w:tblStylePr>
    <w:tblStylePr w:type="lastRow">
      <w:rPr>
        <w:rFonts w:asciiTheme="minorHAnsi" w:hAnsiTheme="minorHAnsi"/>
        <w:b w:val="0"/>
      </w:rPr>
      <w:tblPr/>
      <w:tcPr>
        <w:tcBorders>
          <w:top w:val="single" w:sz="4" w:space="0" w:color="8F7C5D" w:themeColor="background2" w:themeShade="80"/>
        </w:tcBorders>
        <w:shd w:val="clear" w:color="auto" w:fill="F0EDE8" w:themeFill="background2"/>
      </w:tcPr>
    </w:tblStylePr>
    <w:tblStylePr w:type="firstCol">
      <w:rPr>
        <w:rFonts w:asciiTheme="minorHAnsi" w:hAnsiTheme="minorHAnsi"/>
        <w:b w:val="0"/>
      </w:rPr>
      <w:tblPr/>
      <w:tcPr>
        <w:tcBorders>
          <w:right w:val="single" w:sz="4" w:space="0" w:color="8F7C5D" w:themeColor="background2" w:themeShade="80"/>
        </w:tcBorders>
        <w:shd w:val="clear" w:color="auto" w:fill="F0EDE8" w:themeFill="background2"/>
      </w:tcPr>
    </w:tblStylePr>
    <w:tblStylePr w:type="lastCol">
      <w:rPr>
        <w:rFonts w:asciiTheme="minorHAnsi" w:hAnsiTheme="minorHAnsi"/>
        <w:b w:val="0"/>
      </w:rPr>
      <w:tblPr/>
      <w:tcPr>
        <w:tcBorders>
          <w:left w:val="single" w:sz="4" w:space="0" w:color="8F7C5D" w:themeColor="background2" w:themeShade="80"/>
        </w:tcBorders>
        <w:shd w:val="clear" w:color="auto" w:fill="F0EDE8" w:themeFill="background2"/>
      </w:tcPr>
    </w:tblStylePr>
    <w:tblStylePr w:type="band1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2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1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band2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n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n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2066">
      <w:bodyDiv w:val="1"/>
      <w:marLeft w:val="0"/>
      <w:marRight w:val="0"/>
      <w:marTop w:val="0"/>
      <w:marBottom w:val="0"/>
      <w:divBdr>
        <w:top w:val="none" w:sz="0" w:space="0" w:color="auto"/>
        <w:left w:val="none" w:sz="0" w:space="0" w:color="auto"/>
        <w:bottom w:val="none" w:sz="0" w:space="0" w:color="auto"/>
        <w:right w:val="none" w:sz="0" w:space="0" w:color="auto"/>
      </w:divBdr>
    </w:div>
    <w:div w:id="62265798">
      <w:bodyDiv w:val="1"/>
      <w:marLeft w:val="0"/>
      <w:marRight w:val="0"/>
      <w:marTop w:val="0"/>
      <w:marBottom w:val="0"/>
      <w:divBdr>
        <w:top w:val="none" w:sz="0" w:space="0" w:color="auto"/>
        <w:left w:val="none" w:sz="0" w:space="0" w:color="auto"/>
        <w:bottom w:val="none" w:sz="0" w:space="0" w:color="auto"/>
        <w:right w:val="none" w:sz="0" w:space="0" w:color="auto"/>
      </w:divBdr>
    </w:div>
    <w:div w:id="146827682">
      <w:bodyDiv w:val="1"/>
      <w:marLeft w:val="0"/>
      <w:marRight w:val="0"/>
      <w:marTop w:val="0"/>
      <w:marBottom w:val="0"/>
      <w:divBdr>
        <w:top w:val="none" w:sz="0" w:space="0" w:color="auto"/>
        <w:left w:val="none" w:sz="0" w:space="0" w:color="auto"/>
        <w:bottom w:val="none" w:sz="0" w:space="0" w:color="auto"/>
        <w:right w:val="none" w:sz="0" w:space="0" w:color="auto"/>
      </w:divBdr>
    </w:div>
    <w:div w:id="653074210">
      <w:bodyDiv w:val="1"/>
      <w:marLeft w:val="0"/>
      <w:marRight w:val="0"/>
      <w:marTop w:val="0"/>
      <w:marBottom w:val="0"/>
      <w:divBdr>
        <w:top w:val="none" w:sz="0" w:space="0" w:color="auto"/>
        <w:left w:val="none" w:sz="0" w:space="0" w:color="auto"/>
        <w:bottom w:val="none" w:sz="0" w:space="0" w:color="auto"/>
        <w:right w:val="none" w:sz="0" w:space="0" w:color="auto"/>
      </w:divBdr>
    </w:div>
    <w:div w:id="1456825654">
      <w:bodyDiv w:val="1"/>
      <w:marLeft w:val="0"/>
      <w:marRight w:val="0"/>
      <w:marTop w:val="0"/>
      <w:marBottom w:val="0"/>
      <w:divBdr>
        <w:top w:val="none" w:sz="0" w:space="0" w:color="auto"/>
        <w:left w:val="none" w:sz="0" w:space="0" w:color="auto"/>
        <w:bottom w:val="none" w:sz="0" w:space="0" w:color="auto"/>
        <w:right w:val="none" w:sz="0" w:space="0" w:color="auto"/>
      </w:divBdr>
    </w:div>
    <w:div w:id="1564174539">
      <w:bodyDiv w:val="1"/>
      <w:marLeft w:val="0"/>
      <w:marRight w:val="0"/>
      <w:marTop w:val="0"/>
      <w:marBottom w:val="0"/>
      <w:divBdr>
        <w:top w:val="none" w:sz="0" w:space="0" w:color="auto"/>
        <w:left w:val="none" w:sz="0" w:space="0" w:color="auto"/>
        <w:bottom w:val="none" w:sz="0" w:space="0" w:color="auto"/>
        <w:right w:val="none" w:sz="0" w:space="0" w:color="auto"/>
      </w:divBdr>
    </w:div>
    <w:div w:id="15695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caccoalition.org/environmental-crime-and-corruptio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ncaccoalition.org/corruption-in-crimes-that-affect-the-environment-and-climat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3" Type="http://schemas.openxmlformats.org/officeDocument/2006/relationships/hyperlink" Target="https://thedocs.worldbank.org/en/doc/482771571323560234-0120022019/original/WBGReport1017Digital.pdf" TargetMode="External"/><Relationship Id="rId18" Type="http://schemas.openxmlformats.org/officeDocument/2006/relationships/hyperlink" Target="https://www.clubofrome.org/cop-reform-2024/" TargetMode="External"/><Relationship Id="rId26" Type="http://schemas.openxmlformats.org/officeDocument/2006/relationships/hyperlink" Target="https://wildlifejustice.org/the-malaysian-anti-corruption-commission-targets-an-international-pangolin-scale-trafficking-syndicate-and-corrupt-law-enforcement-with-the-support-of-the-wildlife-justice-commission/" TargetMode="External"/><Relationship Id="rId3" Type="http://schemas.openxmlformats.org/officeDocument/2006/relationships/hyperlink" Target="https://uncaccoalition.org/breaking-the-silos-combating-corruption-and-environmental-crime-to-advance-climate-protection-goals" TargetMode="External"/><Relationship Id="rId21" Type="http://schemas.openxmlformats.org/officeDocument/2006/relationships/hyperlink" Target="https://documents.un.org/doc/undoc/gen/g21/396/47/pdf/g2139647.pdf?OpenElement" TargetMode="External"/><Relationship Id="rId7" Type="http://schemas.openxmlformats.org/officeDocument/2006/relationships/hyperlink" Target="https://www.elgaronline.com/edcollbook/book/9781035309511/9781035309511.xml" TargetMode="External"/><Relationship Id="rId12" Type="http://schemas.openxmlformats.org/officeDocument/2006/relationships/hyperlink" Target="http://www.interpol.int" TargetMode="External"/><Relationship Id="rId17" Type="http://schemas.openxmlformats.org/officeDocument/2006/relationships/hyperlink" Target="https://www.worldbank.org/content/dam/documents/sanctions/other-documents/2025/may/Knowledge%20Report%20Symposium%20Supranational%20Integrity%20in%20Climate%20Finance.pdf" TargetMode="External"/><Relationship Id="rId25" Type="http://schemas.openxmlformats.org/officeDocument/2006/relationships/hyperlink" Target="https://wildlifejustice.org/wp-content/uploads/2025/04/disruption-and-disarray-report-march-2025-v11-pages.pdf" TargetMode="External"/><Relationship Id="rId33" Type="http://schemas.openxmlformats.org/officeDocument/2006/relationships/hyperlink" Target="https://uncaccoalition.org/reparations-for-corruption-how-corruption-enforcement-ignores-victims-rights/" TargetMode="External"/><Relationship Id="rId2" Type="http://schemas.openxmlformats.org/officeDocument/2006/relationships/hyperlink" Target="https://ejatlas.org/" TargetMode="External"/><Relationship Id="rId16" Type="http://schemas.openxmlformats.org/officeDocument/2006/relationships/hyperlink" Target="https://www.u4.no/api/publications/climate-governance-in-a-fast-changing-world-evolving-patterns-of-corruption-risks/pdf" TargetMode="External"/><Relationship Id="rId20" Type="http://schemas.openxmlformats.org/officeDocument/2006/relationships/hyperlink" Target="https://www.transparency.de/fileadmin/Redaktion/CPI2024_Report_EN.pdf" TargetMode="External"/><Relationship Id="rId29" Type="http://schemas.openxmlformats.org/officeDocument/2006/relationships/hyperlink" Target="https://www.fatf-gafi.org/content/dam/fatf-gafi/recommendations/FATF%20Recommendations%202012.pdf.coredownload.inline.pdf?nocache=true" TargetMode="External"/><Relationship Id="rId1" Type="http://schemas.openxmlformats.org/officeDocument/2006/relationships/hyperlink" Target="https://www.transparency.org/en/projects/climate-governance-integrity-programme/climate-corruption-atlas" TargetMode="External"/><Relationship Id="rId6" Type="http://schemas.openxmlformats.org/officeDocument/2006/relationships/hyperlink" Target="https://www.unodc.org/res/environment-climate/resources_html/Crimes_that_Affect_the_Environment_and_Climate_Change.pdf" TargetMode="External"/><Relationship Id="rId11" Type="http://schemas.openxmlformats.org/officeDocument/2006/relationships/hyperlink" Target="http://www.rhipto.org" TargetMode="External"/><Relationship Id="rId24" Type="http://schemas.openxmlformats.org/officeDocument/2006/relationships/hyperlink" Target="https://www.unodc.org/documents/treaties/UNCAC/COSP/session7/V.17-04679_E-book.pdf" TargetMode="External"/><Relationship Id="rId32" Type="http://schemas.openxmlformats.org/officeDocument/2006/relationships/hyperlink" Target="https://www.worldbank.org/content/dam/documents/sanctions/other-documents/2025/may/Knowledge%20Report%20Symposium%20Supranational%20Integrity%20in%20Climate%20Finance.pdf" TargetMode="External"/><Relationship Id="rId5" Type="http://schemas.openxmlformats.org/officeDocument/2006/relationships/hyperlink" Target="https://katoikos.world/analysis/the-bubbles-or-the-boiling-water-ways-to-regenerate-the-earth-and-humanity.html" TargetMode="External"/><Relationship Id="rId15" Type="http://schemas.openxmlformats.org/officeDocument/2006/relationships/hyperlink" Target="https://www.u4.no/api/publications/corruption-and-climate-finance/pdf" TargetMode="External"/><Relationship Id="rId23" Type="http://schemas.openxmlformats.org/officeDocument/2006/relationships/hyperlink" Target="https://www.unodc.org/documents/corruption/Publications/2020/20-00843_Ebook.pdf" TargetMode="External"/><Relationship Id="rId28" Type="http://schemas.openxmlformats.org/officeDocument/2006/relationships/hyperlink" Target="https://financing.desa.un.org/sites/default/files/2025-11/FFD4%20Outcome%20Booklet%20v5_EN_Digital%205.5x8.5.pdf" TargetMode="External"/><Relationship Id="rId10" Type="http://schemas.openxmlformats.org/officeDocument/2006/relationships/hyperlink" Target="https://www.unodc.org/res/WDR-2023/WDR23_B3_CH4_Amazon.pdf" TargetMode="External"/><Relationship Id="rId19" Type="http://schemas.openxmlformats.org/officeDocument/2006/relationships/hyperlink" Target="https://www.icj-cij.org/sites/default/files/case-related/187/187-20250723-adv-01-00-en.pdf" TargetMode="External"/><Relationship Id="rId31" Type="http://schemas.openxmlformats.org/officeDocument/2006/relationships/hyperlink" Target="https://www.cambridge.org/core/services/aop-cambridge-core/content/view/0250FE9F3B7B484FE2AC80AF620833DC/S0897654625000139a.pdf/div-class-title-environmental-governance-and-whistleblower-rewards-balancing-prosocial-motivations-with-monetary-incentives-div.pdf" TargetMode="External"/><Relationship Id="rId4" Type="http://schemas.openxmlformats.org/officeDocument/2006/relationships/hyperlink" Target="https://www.unodc.org/documents/treaties/UNCAC/COSP/session9/CAC-COSP-2021-CRP.8_E.pdf" TargetMode="External"/><Relationship Id="rId9" Type="http://schemas.openxmlformats.org/officeDocument/2006/relationships/hyperlink" Target="https://www.oecd.org/content/dam/oecd/en/publications/reports/2014/12/oecd-foreign-bribery-report_g1g4d808/9789264226616-en.pdf" TargetMode="External"/><Relationship Id="rId14" Type="http://schemas.openxmlformats.org/officeDocument/2006/relationships/hyperlink" Target="https://track.unodc.org/uploads/documents/corruption/Publications/2024/Addressing_Corruption_Risks_to_Safeguard_the_Response_the_Climate_Change_Discussion_Draft_II.pdf" TargetMode="External"/><Relationship Id="rId22" Type="http://schemas.openxmlformats.org/officeDocument/2006/relationships/hyperlink" Target="https://gw.cdn.ngo/media/documents/Missing_Voices_-_Global_Witness_land_and_environmental_defenders_report.pdf" TargetMode="External"/><Relationship Id="rId27" Type="http://schemas.openxmlformats.org/officeDocument/2006/relationships/hyperlink" Target="https://thefactcoalition.org/wp-content/uploads/2023/10/Dirty-Money-and-the-Destruction-of-the-Amazon-Full.pdf" TargetMode="External"/><Relationship Id="rId30" Type="http://schemas.openxmlformats.org/officeDocument/2006/relationships/hyperlink" Target="https://www.fatf-gafi.org/content/dam/fatf-gafi/brochures/Private-sector-and-iwt.pdf" TargetMode="External"/><Relationship Id="rId8" Type="http://schemas.openxmlformats.org/officeDocument/2006/relationships/hyperlink" Target="https://www.google.com/search?q=Organisation+for+Economic+Co-operation+and+Development&amp;rlz=1C1JZAP_enNL1050NL1050&amp;oq=OECD&amp;gs_lcrp=EgZjaHJvbWUqBwgAEAAYgAQyBwgAEAAYgAQyBwgBEAAYgAQyBwgCEAAYgAQyBwgDEAAYgAQyBwgEEAAYgAQyBwgFEC4YgAQyBwgGEAAYgAQyBwgHEAAYgAQyBwgIEAAYgAQyBwgJEC4YgATSAQc1MTBqMGo3qAIAsAIA&amp;sourceid=chrome&amp;ie=UTF-8&amp;mstk=AUtExfBLlPi-7DH8y9fmL4xFs9OrZ8NKlEFDYfXVlR7vyMeFnFtp4KnVT2PPeUQuwupNFasiVz_oh_kNSYN8yLrt1wGl7pGEC6Vd1khpojNes7sOx6Po_g5B4bixV_V3p606lLVAIoFzTOJLDTKl9Y0TeSqnU1dAziib4Un7N8Iv_3JZt7bE-2-qVsJ0WlGPT0rAJ5Iu&amp;csui=3&amp;ved=2ahUKEwiozIfRuICRAxUQg_0HHfvmJK4QgK4QegQIAR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ncaccoalition/Downloads/UNCAC%20Coalition%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085621834B7D43979B74154BC49213"/>
        <w:category>
          <w:name w:val="General"/>
          <w:gallery w:val="placeholder"/>
        </w:category>
        <w:types>
          <w:type w:val="bbPlcHdr"/>
        </w:types>
        <w:behaviors>
          <w:behavior w:val="content"/>
        </w:behaviors>
        <w:guid w:val="{51382640-B301-0D42-B061-5163326EBBB4}"/>
      </w:docPartPr>
      <w:docPartBody>
        <w:p w:rsidR="00043C6D" w:rsidRDefault="00000000">
          <w:pPr>
            <w:pStyle w:val="42085621834B7D43979B74154BC49213"/>
          </w:pPr>
          <w:r w:rsidRPr="00C53D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93"/>
    <w:rsid w:val="00043C6D"/>
    <w:rsid w:val="000D01A1"/>
    <w:rsid w:val="0027571D"/>
    <w:rsid w:val="002F62E0"/>
    <w:rsid w:val="0036439A"/>
    <w:rsid w:val="003D5093"/>
    <w:rsid w:val="00427D5E"/>
    <w:rsid w:val="004C048D"/>
    <w:rsid w:val="004C76FA"/>
    <w:rsid w:val="00923574"/>
    <w:rsid w:val="00A07633"/>
    <w:rsid w:val="00A47FE3"/>
    <w:rsid w:val="00A84359"/>
    <w:rsid w:val="00CC103F"/>
    <w:rsid w:val="00EA6647"/>
    <w:rsid w:val="00F217E4"/>
    <w:rsid w:val="00FC52B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085621834B7D43979B74154BC49213">
    <w:name w:val="42085621834B7D43979B74154BC492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CAC Coalition">
      <a:dk1>
        <a:srgbClr val="000000"/>
      </a:dk1>
      <a:lt1>
        <a:srgbClr val="FFFFFF"/>
      </a:lt1>
      <a:dk2>
        <a:srgbClr val="870034"/>
      </a:dk2>
      <a:lt2>
        <a:srgbClr val="F0EDE8"/>
      </a:lt2>
      <a:accent1>
        <a:srgbClr val="AD003D"/>
      </a:accent1>
      <a:accent2>
        <a:srgbClr val="5E3482"/>
      </a:accent2>
      <a:accent3>
        <a:srgbClr val="00639C"/>
      </a:accent3>
      <a:accent4>
        <a:srgbClr val="00A48B"/>
      </a:accent4>
      <a:accent5>
        <a:srgbClr val="0F8852"/>
      </a:accent5>
      <a:accent6>
        <a:srgbClr val="EB912D"/>
      </a:accent6>
      <a:hlink>
        <a:srgbClr val="0D5A4A"/>
      </a:hlink>
      <a:folHlink>
        <a:srgbClr val="0D5A4A"/>
      </a:folHlink>
    </a:clrScheme>
    <a:fontScheme name="UNCAC Coalition">
      <a:majorFont>
        <a:latin typeface="Lexen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NewSourcePlace</b:Tag>
    <b:RefOrder>2</b:RefOrder>
  </b:Source>
  <b:Source>
    <b:Tag>Hub15</b:Tag>
    <b:SourceType>Report</b:SourceType>
    <b:Guid>{55FA7666-08F4-4CEF-9631-D8E21642403B}</b:Guid>
    <b:Title>2015 Social Media Benchmarks Report</b:Title>
    <b:Year>2015</b:Year>
    <b:Author>
      <b:Author>
        <b:Corporate>Hubspot</b:Corporate>
      </b:Author>
    </b:Author>
    <b:Publisher>Hubspot</b:Publisher>
    <b:City>Cambridge, MA</b:City>
    <b:RefOrder>1</b:RefOrder>
  </b:Source>
</b:Sources>
</file>

<file path=customXml/itemProps1.xml><?xml version="1.0" encoding="utf-8"?>
<ds:datastoreItem xmlns:ds="http://schemas.openxmlformats.org/officeDocument/2006/customXml" ds:itemID="{6F4B1456-1542-41DE-81C2-C03E8BFE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UNCAC Coalition (1).dotx</Template>
  <TotalTime>122</TotalTime>
  <Pages>7</Pages>
  <Words>1447</Words>
  <Characters>9745</Characters>
  <Application>Microsoft Office Word</Application>
  <DocSecurity>0</DocSecurity>
  <Lines>157</Lines>
  <Paragraphs>53</Paragraphs>
  <ScaleCrop>false</ScaleCrop>
  <HeadingPairs>
    <vt:vector size="2" baseType="variant">
      <vt:variant>
        <vt:lpstr>Title</vt:lpstr>
      </vt:variant>
      <vt:variant>
        <vt:i4>1</vt:i4>
      </vt:variant>
    </vt:vector>
  </HeadingPairs>
  <TitlesOfParts>
    <vt:vector size="1" baseType="lpstr">
      <vt:lpstr>Recommendations for Integrating Human Rights into Anti-Corruption Frameworks</vt:lpstr>
    </vt:vector>
  </TitlesOfParts>
  <Company>UNCAC Coalition</Company>
  <LinksUpToDate>false</LinksUpToDate>
  <CharactersWithSpaces>11139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the UNCAC to confront environmental crime and                       the climate crisis</dc:title>
  <dc:subject/>
  <dc:creator>Miguel Rodrigues</dc:creator>
  <cp:keywords/>
  <dc:description/>
  <cp:lastModifiedBy>Isabella Moggs</cp:lastModifiedBy>
  <cp:revision>38</cp:revision>
  <dcterms:created xsi:type="dcterms:W3CDTF">2025-11-19T09:14:00Z</dcterms:created>
  <dcterms:modified xsi:type="dcterms:W3CDTF">2025-11-21T11:18:00Z</dcterms:modified>
</cp:coreProperties>
</file>