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8837DC" w14:textId="3FF759C3" w:rsidR="0024649C" w:rsidRPr="005F2597" w:rsidRDefault="00000000" w:rsidP="00BC2368">
      <w:pPr>
        <w:pStyle w:val="Title"/>
        <w:spacing w:after="0"/>
        <w:jc w:val="center"/>
        <w:rPr>
          <w:b/>
          <w:bCs/>
          <w:sz w:val="28"/>
          <w:szCs w:val="28"/>
          <w:lang w:val="en-US"/>
        </w:rPr>
      </w:pPr>
      <w:sdt>
        <w:sdtPr>
          <w:rPr>
            <w:b/>
            <w:bCs/>
            <w:sz w:val="28"/>
            <w:szCs w:val="28"/>
            <w:lang w:val="en-US"/>
          </w:rPr>
          <w:alias w:val="Title"/>
          <w:tag w:val=""/>
          <w:id w:val="-887490816"/>
          <w:placeholder>
            <w:docPart w:val="42085621834B7D43979B74154BC49213"/>
          </w:placeholder>
          <w:dataBinding w:prefixMappings="xmlns:ns0='http://purl.org/dc/elements/1.1/' xmlns:ns1='http://schemas.openxmlformats.org/package/2006/metadata/core-properties' " w:xpath="/ns1:coreProperties[1]/ns0:title[1]" w:storeItemID="{6C3C8BC8-F283-45AE-878A-BAB7291924A1}"/>
          <w:text/>
        </w:sdtPr>
        <w:sdtContent>
          <w:r w:rsidR="009F2C07" w:rsidRPr="005F2597">
            <w:rPr>
              <w:b/>
              <w:bCs/>
              <w:sz w:val="28"/>
              <w:szCs w:val="28"/>
              <w:lang w:val="en-US"/>
            </w:rPr>
            <w:t>Recommendations for Integrating Human Rights into Anti-Corruption Frameworks</w:t>
          </w:r>
        </w:sdtContent>
      </w:sdt>
    </w:p>
    <w:p w14:paraId="072F4047" w14:textId="77777777" w:rsidR="00BC2368" w:rsidRPr="005F2597" w:rsidRDefault="00BC2368" w:rsidP="00BC2368">
      <w:pPr>
        <w:pStyle w:val="Subtitle"/>
        <w:spacing w:before="0" w:after="0"/>
        <w:jc w:val="center"/>
        <w:rPr>
          <w:lang w:val="en-US"/>
        </w:rPr>
      </w:pPr>
    </w:p>
    <w:p w14:paraId="194C79FB" w14:textId="25F057A5" w:rsidR="00311C5E" w:rsidRPr="005F2597" w:rsidRDefault="00311C5E" w:rsidP="00311C5E">
      <w:pPr>
        <w:pStyle w:val="Subtitle"/>
        <w:spacing w:before="0" w:after="0"/>
        <w:jc w:val="center"/>
        <w:rPr>
          <w:lang w:val="en-US"/>
        </w:rPr>
      </w:pPr>
      <w:r w:rsidRPr="005F2597">
        <w:rPr>
          <w:lang w:val="en-US"/>
        </w:rPr>
        <w:t>Submission by the Global Civil Society Coalition for the UNCAC’s Working Group on Human Rights &amp; Corruption</w:t>
      </w:r>
      <w:r w:rsidRPr="005F2597">
        <w:rPr>
          <w:rStyle w:val="FootnoteReference"/>
          <w:color w:val="000000" w:themeColor="text1"/>
          <w:lang w:val="en-US"/>
        </w:rPr>
        <w:footnoteReference w:id="1"/>
      </w:r>
    </w:p>
    <w:p w14:paraId="2B034953" w14:textId="77777777" w:rsidR="00311C5E" w:rsidRPr="005F2597" w:rsidRDefault="00311C5E" w:rsidP="00BC2368">
      <w:pPr>
        <w:pStyle w:val="Subtitle"/>
        <w:spacing w:before="0" w:after="0"/>
        <w:jc w:val="center"/>
        <w:rPr>
          <w:b/>
          <w:bCs/>
          <w:sz w:val="26"/>
          <w:szCs w:val="24"/>
          <w:lang w:val="en-US"/>
        </w:rPr>
      </w:pPr>
    </w:p>
    <w:p w14:paraId="37D3C9C4" w14:textId="0FFAFFFB" w:rsidR="008D52FF" w:rsidRPr="005F2597" w:rsidRDefault="00311C5E" w:rsidP="00BC2368">
      <w:pPr>
        <w:pStyle w:val="Subtitle"/>
        <w:spacing w:before="0" w:after="0"/>
        <w:jc w:val="center"/>
        <w:rPr>
          <w:b/>
          <w:bCs/>
          <w:sz w:val="26"/>
          <w:szCs w:val="24"/>
          <w:lang w:val="en-US"/>
        </w:rPr>
      </w:pPr>
      <w:r w:rsidRPr="005F2597">
        <w:rPr>
          <w:b/>
          <w:bCs/>
          <w:sz w:val="26"/>
          <w:szCs w:val="24"/>
          <w:lang w:val="en-US"/>
        </w:rPr>
        <w:t>2</w:t>
      </w:r>
      <w:r w:rsidR="003F0494">
        <w:rPr>
          <w:b/>
          <w:bCs/>
          <w:sz w:val="26"/>
          <w:szCs w:val="24"/>
          <w:lang w:val="en-US"/>
        </w:rPr>
        <w:t>1</w:t>
      </w:r>
      <w:r w:rsidR="008D52FF" w:rsidRPr="005F2597">
        <w:rPr>
          <w:b/>
          <w:bCs/>
          <w:sz w:val="26"/>
          <w:szCs w:val="24"/>
          <w:lang w:val="en-US"/>
        </w:rPr>
        <w:t xml:space="preserve"> </w:t>
      </w:r>
      <w:r w:rsidR="0064600C" w:rsidRPr="005F2597">
        <w:rPr>
          <w:b/>
          <w:bCs/>
          <w:sz w:val="26"/>
          <w:szCs w:val="24"/>
          <w:lang w:val="en-US"/>
        </w:rPr>
        <w:t>Nov</w:t>
      </w:r>
      <w:r w:rsidR="008D52FF" w:rsidRPr="005F2597">
        <w:rPr>
          <w:b/>
          <w:bCs/>
          <w:sz w:val="26"/>
          <w:szCs w:val="24"/>
          <w:lang w:val="en-US"/>
        </w:rPr>
        <w:t>ember 2025</w:t>
      </w:r>
    </w:p>
    <w:p w14:paraId="3CF30102" w14:textId="77777777" w:rsidR="00311C5E" w:rsidRPr="005F2597" w:rsidRDefault="00311C5E" w:rsidP="00DC7619">
      <w:pPr>
        <w:pStyle w:val="Heading2"/>
        <w:spacing w:before="0" w:after="0"/>
        <w:rPr>
          <w:rFonts w:eastAsia="Calibri" w:cs="Calibri"/>
          <w:bCs/>
          <w:color w:val="000000" w:themeColor="text1"/>
          <w:sz w:val="26"/>
          <w:szCs w:val="26"/>
          <w:lang w:val="en-US"/>
        </w:rPr>
      </w:pPr>
    </w:p>
    <w:p w14:paraId="017A8815" w14:textId="0F7D2EE6" w:rsidR="00F0196F" w:rsidRDefault="00311C5E" w:rsidP="00F0196F">
      <w:pPr>
        <w:pStyle w:val="Heading2"/>
        <w:spacing w:before="0" w:line="312" w:lineRule="auto"/>
        <w:rPr>
          <w:rFonts w:eastAsia="Calibri" w:cs="Calibri"/>
          <w:bCs/>
          <w:color w:val="000000" w:themeColor="text1"/>
          <w:sz w:val="26"/>
          <w:szCs w:val="26"/>
          <w:lang w:val="en-US"/>
        </w:rPr>
      </w:pPr>
      <w:r w:rsidRPr="005F2597">
        <w:rPr>
          <w:rFonts w:eastAsia="Calibri" w:cs="Calibri"/>
          <w:bCs/>
          <w:color w:val="000000" w:themeColor="text1"/>
          <w:sz w:val="26"/>
          <w:szCs w:val="26"/>
          <w:lang w:val="en-US"/>
        </w:rPr>
        <w:t>Introduction</w:t>
      </w:r>
    </w:p>
    <w:p w14:paraId="5D9421CE" w14:textId="77777777" w:rsidR="00F939EF" w:rsidRPr="00F939EF" w:rsidRDefault="00F939EF" w:rsidP="00F939EF">
      <w:pPr>
        <w:jc w:val="both"/>
        <w:rPr>
          <w:sz w:val="24"/>
          <w:szCs w:val="28"/>
        </w:rPr>
      </w:pPr>
      <w:r w:rsidRPr="00F939EF">
        <w:rPr>
          <w:sz w:val="24"/>
          <w:szCs w:val="28"/>
        </w:rPr>
        <w:t>Corruption and human rights violations are closely linked, even though they are often treated separately. Corruption weakens institutions, undermines the rule of law, and erodes public trust, affecting people’s ability to enjoy their fundamental rights. Human rights frameworks, in turn, help monitor the real-world consequences of corruption, especially for individuals and communities most exposed to abuses of power. Addressing corruption without considering human rights creates gaps that can weaken the legitimacy and effectiveness of anti-corruption efforts.</w:t>
      </w:r>
    </w:p>
    <w:p w14:paraId="16E1BE38" w14:textId="77777777" w:rsidR="00F939EF" w:rsidRPr="00F939EF" w:rsidRDefault="00F939EF" w:rsidP="00F939EF">
      <w:pPr>
        <w:jc w:val="both"/>
        <w:rPr>
          <w:sz w:val="24"/>
          <w:szCs w:val="28"/>
        </w:rPr>
      </w:pPr>
      <w:r w:rsidRPr="00F939EF">
        <w:rPr>
          <w:sz w:val="24"/>
          <w:szCs w:val="28"/>
        </w:rPr>
        <w:t xml:space="preserve">In our policy guidance on </w:t>
      </w:r>
      <w:r w:rsidRPr="00F939EF">
        <w:rPr>
          <w:i/>
          <w:iCs/>
          <w:sz w:val="24"/>
          <w:szCs w:val="28"/>
        </w:rPr>
        <w:t>Systemic Integration of Human Rights in Anti-corruption Frameworks</w:t>
      </w:r>
      <w:r w:rsidRPr="00F939EF">
        <w:rPr>
          <w:sz w:val="24"/>
          <w:szCs w:val="28"/>
        </w:rPr>
        <w:t>,</w:t>
      </w:r>
      <w:r w:rsidRPr="00F939EF">
        <w:rPr>
          <w:b/>
          <w:bCs/>
          <w:sz w:val="24"/>
          <w:szCs w:val="28"/>
          <w:vertAlign w:val="superscript"/>
        </w:rPr>
        <w:footnoteReference w:id="2"/>
      </w:r>
      <w:r w:rsidRPr="00F939EF">
        <w:rPr>
          <w:sz w:val="24"/>
          <w:szCs w:val="28"/>
        </w:rPr>
        <w:t xml:space="preserve"> developed in collaboration with the Cyrus R. Vance </w:t>
      </w:r>
      <w:proofErr w:type="spellStart"/>
      <w:r w:rsidRPr="00F939EF">
        <w:rPr>
          <w:sz w:val="24"/>
          <w:szCs w:val="28"/>
        </w:rPr>
        <w:t>Center</w:t>
      </w:r>
      <w:proofErr w:type="spellEnd"/>
      <w:r w:rsidRPr="00F939EF">
        <w:rPr>
          <w:sz w:val="24"/>
          <w:szCs w:val="28"/>
        </w:rPr>
        <w:t xml:space="preserve"> for International Justice, we emphasized that the two fields are complementary and should be implemented together. The Vienna Convention on the Law of Treaties, the UN Charter, and the UNCAC already provide the legal basis for interpreting obligations in ways that reinforce one another. UN bodies have repeatedly recognized the need for coherence across systems. Interpreting UNCAC in isolation leads to inconsistencies and weaker protections.</w:t>
      </w:r>
    </w:p>
    <w:p w14:paraId="6D4B30C6" w14:textId="77777777" w:rsidR="00F939EF" w:rsidRPr="00F939EF" w:rsidRDefault="00F939EF" w:rsidP="00F939EF">
      <w:pPr>
        <w:jc w:val="both"/>
        <w:rPr>
          <w:sz w:val="24"/>
          <w:szCs w:val="28"/>
        </w:rPr>
      </w:pPr>
      <w:r w:rsidRPr="00F939EF">
        <w:rPr>
          <w:sz w:val="24"/>
          <w:szCs w:val="28"/>
        </w:rPr>
        <w:t>We therefore encouraged States Parties at CoSP11 to reference human rights obligations and align anti-corruption measures with existing standards.</w:t>
      </w:r>
    </w:p>
    <w:p w14:paraId="789B123D" w14:textId="77777777" w:rsidR="00F939EF" w:rsidRPr="00F939EF" w:rsidRDefault="00F939EF" w:rsidP="00F939EF">
      <w:pPr>
        <w:jc w:val="both"/>
        <w:rPr>
          <w:sz w:val="24"/>
          <w:szCs w:val="28"/>
        </w:rPr>
      </w:pPr>
      <w:r w:rsidRPr="00F939EF">
        <w:rPr>
          <w:sz w:val="24"/>
          <w:szCs w:val="28"/>
        </w:rPr>
        <w:lastRenderedPageBreak/>
        <w:t>The recommendations below outline practical steps to integrate human rights into anti-corruption policy at national and international levels.</w:t>
      </w:r>
    </w:p>
    <w:p w14:paraId="146CE9E5" w14:textId="77777777" w:rsidR="00F939EF" w:rsidRPr="00F939EF" w:rsidRDefault="00F939EF" w:rsidP="00F939EF">
      <w:pPr>
        <w:jc w:val="both"/>
        <w:rPr>
          <w:rFonts w:asciiTheme="majorHAnsi" w:eastAsia="Inter" w:hAnsiTheme="majorHAnsi" w:cs="Inter"/>
          <w:b/>
          <w:bCs/>
          <w:sz w:val="26"/>
          <w:szCs w:val="26"/>
        </w:rPr>
      </w:pPr>
      <w:r w:rsidRPr="00F939EF">
        <w:rPr>
          <w:rFonts w:asciiTheme="majorHAnsi" w:eastAsia="Inter" w:hAnsiTheme="majorHAnsi" w:cs="Inter"/>
          <w:b/>
          <w:bCs/>
          <w:sz w:val="26"/>
          <w:szCs w:val="26"/>
        </w:rPr>
        <w:t>Recommendations</w:t>
      </w:r>
    </w:p>
    <w:p w14:paraId="3155B62E" w14:textId="77777777" w:rsidR="00F939EF" w:rsidRPr="00F939EF" w:rsidRDefault="00F939EF" w:rsidP="00F939EF">
      <w:pPr>
        <w:jc w:val="both"/>
        <w:rPr>
          <w:rFonts w:ascii="Inter" w:eastAsia="Inter" w:hAnsi="Inter" w:cs="Inter"/>
          <w:i/>
          <w:iCs/>
          <w:sz w:val="24"/>
          <w:szCs w:val="24"/>
        </w:rPr>
      </w:pPr>
      <w:r w:rsidRPr="00F939EF">
        <w:rPr>
          <w:rFonts w:ascii="Inter" w:eastAsia="Inter" w:hAnsi="Inter" w:cs="Inter"/>
          <w:i/>
          <w:iCs/>
          <w:sz w:val="24"/>
          <w:szCs w:val="24"/>
        </w:rPr>
        <w:t xml:space="preserve">Institutional alignment </w:t>
      </w:r>
    </w:p>
    <w:p w14:paraId="4CA7BAFE" w14:textId="390124A2" w:rsidR="00F939EF" w:rsidRPr="00F939EF" w:rsidRDefault="00F939EF" w:rsidP="00FA7C33">
      <w:pPr>
        <w:jc w:val="both"/>
        <w:rPr>
          <w:rFonts w:ascii="Inter" w:eastAsia="Inter" w:hAnsi="Inter" w:cs="Inter"/>
          <w:sz w:val="24"/>
          <w:szCs w:val="24"/>
        </w:rPr>
      </w:pPr>
      <w:r w:rsidRPr="00F939EF">
        <w:rPr>
          <w:rFonts w:ascii="Inter" w:eastAsia="Inter" w:hAnsi="Inter" w:cs="Inter"/>
          <w:sz w:val="24"/>
          <w:szCs w:val="24"/>
        </w:rPr>
        <w:t>Systemic integration requires sustained coordination between institutions working on corruption and human rights. In many settings, anti-corruption bodies and human rights institutions operate independently, resulting in fragmented responses and inconsistent standards.</w:t>
      </w:r>
    </w:p>
    <w:p w14:paraId="653DBAC7" w14:textId="2C1B2ADD" w:rsidR="00DC7619" w:rsidRPr="00F939EF" w:rsidRDefault="00F939EF" w:rsidP="00F939EF">
      <w:pPr>
        <w:spacing w:after="0"/>
        <w:jc w:val="both"/>
        <w:rPr>
          <w:rFonts w:ascii="Inter" w:eastAsia="Inter" w:hAnsi="Inter" w:cs="Inter"/>
          <w:sz w:val="24"/>
          <w:szCs w:val="24"/>
        </w:rPr>
      </w:pPr>
      <w:r w:rsidRPr="00F939EF">
        <w:rPr>
          <w:rFonts w:ascii="Inter" w:eastAsia="Inter" w:hAnsi="Inter" w:cs="Inter"/>
          <w:sz w:val="24"/>
          <w:szCs w:val="24"/>
        </w:rPr>
        <w:t>States should apply the principle of systemic integration</w:t>
      </w:r>
      <w:r w:rsidRPr="00F939EF">
        <w:rPr>
          <w:rFonts w:ascii="Inter" w:eastAsia="Inter" w:hAnsi="Inter" w:cs="Inter"/>
          <w:sz w:val="24"/>
          <w:szCs w:val="24"/>
          <w:vertAlign w:val="superscript"/>
        </w:rPr>
        <w:footnoteReference w:id="3"/>
      </w:r>
      <w:r w:rsidRPr="00F939EF">
        <w:rPr>
          <w:rFonts w:ascii="Inter" w:eastAsia="Inter" w:hAnsi="Inter" w:cs="Inter"/>
          <w:sz w:val="24"/>
          <w:szCs w:val="24"/>
        </w:rPr>
        <w:t xml:space="preserve"> when interpreting and implementing </w:t>
      </w:r>
      <w:r w:rsidR="002112FD">
        <w:rPr>
          <w:rFonts w:ascii="Inter" w:eastAsia="Inter" w:hAnsi="Inter" w:cs="Inter"/>
          <w:sz w:val="24"/>
          <w:szCs w:val="24"/>
        </w:rPr>
        <w:t xml:space="preserve">the </w:t>
      </w:r>
      <w:r w:rsidRPr="00F939EF">
        <w:rPr>
          <w:rFonts w:ascii="Inter" w:eastAsia="Inter" w:hAnsi="Inter" w:cs="Inter"/>
          <w:sz w:val="24"/>
          <w:szCs w:val="24"/>
        </w:rPr>
        <w:t>UNCAC, ensuring that anti-corruption measures align with relevant human rights treaties. At the international level, stronger cooperation between UNODC and OHCHR would reinforce coherence through joint expert processes, technical exchanges, and collaborative development of guidance and conceptualisation.</w:t>
      </w:r>
    </w:p>
    <w:p w14:paraId="3C2075CD" w14:textId="77777777" w:rsidR="00F939EF" w:rsidRPr="00F939EF" w:rsidRDefault="00F939EF" w:rsidP="00FA7C33">
      <w:pPr>
        <w:spacing w:before="240" w:after="0"/>
        <w:jc w:val="both"/>
        <w:rPr>
          <w:rFonts w:ascii="Inter" w:eastAsia="Inter" w:hAnsi="Inter" w:cs="Inter"/>
          <w:sz w:val="24"/>
          <w:szCs w:val="24"/>
        </w:rPr>
      </w:pPr>
      <w:r w:rsidRPr="00F939EF">
        <w:rPr>
          <w:rFonts w:ascii="Inter" w:eastAsia="Inter" w:hAnsi="Inter" w:cs="Inter"/>
          <w:sz w:val="24"/>
          <w:szCs w:val="24"/>
        </w:rPr>
        <w:t xml:space="preserve">National anti-corruption authorities and national human rights institutions should adopt cooperation agreements to share findings, indicators, and areas of concern, solutions and collaboration. Cross-referencing UNCAC and human rights obligations should be encouraged in National Action Plans, as well as in national reports to international review mechanisms such as the Universal Periodic Review, UN human rights treaty bodies, and the UNCAC Implementation Review Mechanism. </w:t>
      </w:r>
    </w:p>
    <w:p w14:paraId="7EB58084" w14:textId="77777777" w:rsidR="00F939EF" w:rsidRDefault="00F939EF" w:rsidP="00F939EF">
      <w:pPr>
        <w:spacing w:after="0"/>
        <w:jc w:val="both"/>
        <w:rPr>
          <w:rFonts w:ascii="Inter" w:eastAsia="Inter" w:hAnsi="Inter" w:cs="Inter"/>
          <w:i/>
          <w:iCs/>
          <w:sz w:val="24"/>
          <w:szCs w:val="24"/>
        </w:rPr>
      </w:pPr>
    </w:p>
    <w:p w14:paraId="44541EED" w14:textId="67032529" w:rsidR="00F939EF" w:rsidRPr="00F939EF" w:rsidRDefault="00F939EF" w:rsidP="00F939EF">
      <w:pPr>
        <w:jc w:val="both"/>
        <w:rPr>
          <w:rFonts w:ascii="Inter" w:eastAsia="Inter" w:hAnsi="Inter" w:cs="Inter"/>
          <w:i/>
          <w:iCs/>
          <w:sz w:val="24"/>
          <w:szCs w:val="24"/>
        </w:rPr>
      </w:pPr>
      <w:r w:rsidRPr="00F939EF">
        <w:rPr>
          <w:rFonts w:ascii="Inter" w:eastAsia="Inter" w:hAnsi="Inter" w:cs="Inter"/>
          <w:i/>
          <w:iCs/>
          <w:sz w:val="24"/>
          <w:szCs w:val="24"/>
        </w:rPr>
        <w:t>Judicial Integrity</w:t>
      </w:r>
    </w:p>
    <w:p w14:paraId="4B6BE3BD" w14:textId="6C2B8685" w:rsidR="00F939EF" w:rsidRPr="00F939EF" w:rsidRDefault="00F939EF" w:rsidP="00F939EF">
      <w:pPr>
        <w:spacing w:after="0"/>
        <w:jc w:val="both"/>
        <w:rPr>
          <w:rFonts w:ascii="Inter" w:eastAsia="Inter" w:hAnsi="Inter" w:cs="Inter"/>
          <w:sz w:val="24"/>
          <w:szCs w:val="24"/>
        </w:rPr>
      </w:pPr>
      <w:r w:rsidRPr="00F939EF">
        <w:rPr>
          <w:rFonts w:ascii="Inter" w:eastAsia="Inter" w:hAnsi="Inter" w:cs="Inter"/>
          <w:sz w:val="24"/>
          <w:szCs w:val="24"/>
        </w:rPr>
        <w:t>Judicial integrity is essential for anti-corruption enforcement and human rights protection. Without an independent and accountable judiciary, corruption cases cannot be effectively pursued, nor can the rights of defendants, victims, and the public be protected. Weak judicial institutions encourage impunity, while politically influenced judiciaries can weaponize anti-corruption processes against opponents or activists.</w:t>
      </w:r>
    </w:p>
    <w:p w14:paraId="521FA934" w14:textId="5CD482E4" w:rsidR="00F939EF" w:rsidRPr="00F939EF" w:rsidRDefault="00F939EF" w:rsidP="00FA7C33">
      <w:pPr>
        <w:spacing w:before="240" w:after="0"/>
        <w:jc w:val="both"/>
        <w:rPr>
          <w:rFonts w:ascii="Inter" w:eastAsia="Inter" w:hAnsi="Inter" w:cs="Inter"/>
          <w:sz w:val="24"/>
          <w:szCs w:val="24"/>
        </w:rPr>
      </w:pPr>
      <w:r w:rsidRPr="00F939EF">
        <w:rPr>
          <w:rFonts w:ascii="Inter" w:eastAsia="Inter" w:hAnsi="Inter" w:cs="Inter"/>
          <w:sz w:val="24"/>
          <w:szCs w:val="24"/>
        </w:rPr>
        <w:t>States should therefore ensure that judicial selection, oversight, and disciplinary mechanisms comply with international standards on judicial independence.</w:t>
      </w:r>
      <w:r w:rsidRPr="00F939EF">
        <w:rPr>
          <w:rFonts w:ascii="Inter" w:eastAsia="Inter" w:hAnsi="Inter" w:cs="Inter"/>
          <w:sz w:val="24"/>
          <w:szCs w:val="24"/>
          <w:vertAlign w:val="superscript"/>
        </w:rPr>
        <w:footnoteReference w:id="4"/>
      </w:r>
      <w:r w:rsidRPr="00F939EF">
        <w:rPr>
          <w:rFonts w:ascii="Inter" w:eastAsia="Inter" w:hAnsi="Inter" w:cs="Inter"/>
          <w:sz w:val="24"/>
          <w:szCs w:val="24"/>
        </w:rPr>
        <w:t xml:space="preserve"> Incorporating UNCAC Article 11 into judicial accountability frameworks must be done to protect judges from arbitrary </w:t>
      </w:r>
      <w:r w:rsidRPr="00F939EF">
        <w:rPr>
          <w:rFonts w:ascii="Inter" w:eastAsia="Inter" w:hAnsi="Inter" w:cs="Inter"/>
          <w:sz w:val="24"/>
          <w:szCs w:val="24"/>
        </w:rPr>
        <w:lastRenderedPageBreak/>
        <w:t>removal or politically motivated discipline, undermining judicial independence.</w:t>
      </w:r>
      <w:r w:rsidRPr="00F939EF">
        <w:rPr>
          <w:rFonts w:ascii="Inter" w:eastAsia="Inter" w:hAnsi="Inter" w:cs="Inter"/>
          <w:sz w:val="24"/>
          <w:szCs w:val="24"/>
          <w:vertAlign w:val="superscript"/>
        </w:rPr>
        <w:footnoteReference w:id="5"/>
      </w:r>
      <w:r w:rsidRPr="00F939EF">
        <w:rPr>
          <w:rFonts w:ascii="Inter" w:eastAsia="Inter" w:hAnsi="Inter" w:cs="Inter"/>
          <w:sz w:val="24"/>
          <w:szCs w:val="24"/>
        </w:rPr>
        <w:t xml:space="preserve"> Safeguards must be in place to ensure that judicial reforms or disciplinary actions are not used as tools for political influence.</w:t>
      </w:r>
      <w:r w:rsidRPr="00F939EF">
        <w:rPr>
          <w:rFonts w:ascii="Inter" w:eastAsia="Inter" w:hAnsi="Inter" w:cs="Inter"/>
          <w:sz w:val="24"/>
          <w:szCs w:val="24"/>
          <w:vertAlign w:val="superscript"/>
        </w:rPr>
        <w:footnoteReference w:id="6"/>
      </w:r>
    </w:p>
    <w:p w14:paraId="75DA42FF" w14:textId="5FAE584A" w:rsidR="00F939EF" w:rsidRPr="00F939EF" w:rsidRDefault="00F939EF" w:rsidP="00FA7C33">
      <w:pPr>
        <w:spacing w:before="240" w:after="0"/>
        <w:jc w:val="both"/>
        <w:rPr>
          <w:rFonts w:ascii="Inter" w:eastAsia="Inter" w:hAnsi="Inter" w:cs="Inter"/>
          <w:sz w:val="24"/>
          <w:szCs w:val="24"/>
        </w:rPr>
      </w:pPr>
      <w:r w:rsidRPr="00F939EF">
        <w:rPr>
          <w:rFonts w:ascii="Inter" w:eastAsia="Inter" w:hAnsi="Inter" w:cs="Inter"/>
          <w:sz w:val="24"/>
          <w:szCs w:val="24"/>
        </w:rPr>
        <w:t>Protection measures should also extend to judges who expose corruption or resist undue interference, consistent with the guidance of the UN Special Rapporteur on the Independence of Judges and Lawyers. Judicial training programs should address the connection between human rights and corruption, including how corruption cases impact broader democratic governance and public trust.</w:t>
      </w:r>
    </w:p>
    <w:p w14:paraId="5149260C" w14:textId="25002EBB" w:rsidR="00F939EF" w:rsidRPr="00F939EF" w:rsidRDefault="00F939EF" w:rsidP="00FA7C33">
      <w:pPr>
        <w:spacing w:before="240" w:after="0"/>
        <w:jc w:val="both"/>
        <w:rPr>
          <w:rFonts w:ascii="Inter" w:eastAsia="Inter" w:hAnsi="Inter" w:cs="Inter"/>
          <w:sz w:val="24"/>
          <w:szCs w:val="24"/>
        </w:rPr>
      </w:pPr>
      <w:r w:rsidRPr="00F939EF">
        <w:rPr>
          <w:rFonts w:ascii="Inter" w:eastAsia="Inter" w:hAnsi="Inter" w:cs="Inter"/>
          <w:sz w:val="24"/>
          <w:szCs w:val="24"/>
        </w:rPr>
        <w:t>States should ensure reasonable timeframes in corruption proceedings</w:t>
      </w:r>
      <w:r w:rsidRPr="00F939EF">
        <w:rPr>
          <w:rFonts w:ascii="Inter" w:eastAsia="Inter" w:hAnsi="Inter" w:cs="Inter"/>
          <w:sz w:val="24"/>
          <w:szCs w:val="24"/>
          <w:vertAlign w:val="superscript"/>
        </w:rPr>
        <w:footnoteReference w:id="7"/>
      </w:r>
      <w:r w:rsidRPr="00F939EF">
        <w:rPr>
          <w:rFonts w:ascii="Inter" w:eastAsia="Inter" w:hAnsi="Inter" w:cs="Inter"/>
          <w:sz w:val="24"/>
          <w:szCs w:val="24"/>
        </w:rPr>
        <w:t xml:space="preserve">. In </w:t>
      </w:r>
      <w:r w:rsidR="00DC7619" w:rsidRPr="00F939EF">
        <w:rPr>
          <w:rFonts w:ascii="Inter" w:eastAsia="Inter" w:hAnsi="Inter" w:cs="Inter"/>
          <w:sz w:val="24"/>
          <w:szCs w:val="24"/>
        </w:rPr>
        <w:t>addition, authorities</w:t>
      </w:r>
      <w:r w:rsidRPr="00F939EF">
        <w:rPr>
          <w:rFonts w:ascii="Inter" w:eastAsia="Inter" w:hAnsi="Inter" w:cs="Inter"/>
          <w:sz w:val="24"/>
          <w:szCs w:val="24"/>
        </w:rPr>
        <w:t xml:space="preserve"> must refrain from using anti-corruption investigations or criminal processes to subject politically active individuals and groups to prolonged or indefinite legal proceedings. Such practices undermine due process, distort political competition and democratic processes, and may amount to political persecution.</w:t>
      </w:r>
      <w:r w:rsidRPr="00F939EF">
        <w:rPr>
          <w:rFonts w:ascii="Inter" w:eastAsia="Inter" w:hAnsi="Inter" w:cs="Inter"/>
          <w:sz w:val="24"/>
          <w:szCs w:val="24"/>
          <w:vertAlign w:val="superscript"/>
        </w:rPr>
        <w:footnoteReference w:id="8"/>
      </w:r>
    </w:p>
    <w:p w14:paraId="7E458C79" w14:textId="77777777" w:rsidR="00F939EF" w:rsidRPr="00F939EF" w:rsidRDefault="00F939EF" w:rsidP="00F939EF">
      <w:pPr>
        <w:spacing w:after="0"/>
        <w:jc w:val="both"/>
        <w:rPr>
          <w:rFonts w:ascii="Inter" w:eastAsia="Inter" w:hAnsi="Inter" w:cs="Inter"/>
          <w:i/>
          <w:iCs/>
          <w:sz w:val="24"/>
          <w:szCs w:val="24"/>
        </w:rPr>
      </w:pPr>
    </w:p>
    <w:p w14:paraId="0351747F" w14:textId="0AB9244C" w:rsidR="00F939EF" w:rsidRPr="00F939EF" w:rsidRDefault="00F939EF" w:rsidP="00F939EF">
      <w:pPr>
        <w:spacing w:after="0"/>
        <w:jc w:val="both"/>
        <w:rPr>
          <w:rFonts w:ascii="Inter" w:eastAsia="Inter" w:hAnsi="Inter" w:cs="Inter"/>
          <w:i/>
          <w:iCs/>
          <w:sz w:val="24"/>
          <w:szCs w:val="24"/>
        </w:rPr>
      </w:pPr>
      <w:r w:rsidRPr="00F939EF">
        <w:rPr>
          <w:rFonts w:ascii="Inter" w:eastAsia="Inter" w:hAnsi="Inter" w:cs="Inter"/>
          <w:i/>
          <w:iCs/>
          <w:sz w:val="24"/>
          <w:szCs w:val="24"/>
        </w:rPr>
        <w:t>Civic space</w:t>
      </w:r>
    </w:p>
    <w:p w14:paraId="743944E3" w14:textId="57F5A850" w:rsidR="00F939EF" w:rsidRPr="00F939EF" w:rsidRDefault="00F939EF" w:rsidP="00FA7C33">
      <w:pPr>
        <w:spacing w:before="240"/>
        <w:jc w:val="both"/>
        <w:rPr>
          <w:rFonts w:ascii="Inter" w:eastAsia="Inter" w:hAnsi="Inter" w:cs="Inter"/>
          <w:sz w:val="24"/>
          <w:szCs w:val="24"/>
        </w:rPr>
      </w:pPr>
      <w:r w:rsidRPr="00F939EF">
        <w:rPr>
          <w:rFonts w:ascii="Inter" w:eastAsia="Inter" w:hAnsi="Inter" w:cs="Inter"/>
          <w:sz w:val="24"/>
          <w:szCs w:val="24"/>
        </w:rPr>
        <w:t>A</w:t>
      </w:r>
      <w:r w:rsidR="00DC7619">
        <w:rPr>
          <w:rFonts w:ascii="Inter" w:eastAsia="Inter" w:hAnsi="Inter" w:cs="Inter"/>
          <w:sz w:val="24"/>
          <w:szCs w:val="24"/>
        </w:rPr>
        <w:t>n</w:t>
      </w:r>
      <w:r w:rsidRPr="00F939EF">
        <w:rPr>
          <w:rFonts w:ascii="Inter" w:eastAsia="Inter" w:hAnsi="Inter" w:cs="Inter"/>
          <w:sz w:val="24"/>
          <w:szCs w:val="24"/>
        </w:rPr>
        <w:t xml:space="preserve"> open civic space is essential for effective anti-corruption efforts. Human rights defenders, journalists, community leaders, whistleblowers, and civil society organizations play vital roles in exposing corruption, monitoring government performance, and advocating for accountability. Yet in many contexts, these actors face criminalization, reprisals, smear </w:t>
      </w:r>
      <w:r w:rsidRPr="00F939EF">
        <w:rPr>
          <w:rFonts w:ascii="Inter" w:eastAsia="Inter" w:hAnsi="Inter" w:cs="Inter"/>
          <w:sz w:val="24"/>
          <w:szCs w:val="24"/>
        </w:rPr>
        <w:lastRenderedPageBreak/>
        <w:t>campaigns, and regulatory restrictions designed to limit their work. These trends directly undermine the objectives of UNCAC Article 13 and weaken oversight systems.</w:t>
      </w:r>
    </w:p>
    <w:p w14:paraId="3B397BA5" w14:textId="0646F635" w:rsidR="00F939EF" w:rsidRPr="00F939EF" w:rsidRDefault="00F939EF" w:rsidP="00F939EF">
      <w:pPr>
        <w:spacing w:after="0"/>
        <w:jc w:val="both"/>
        <w:rPr>
          <w:rFonts w:ascii="Inter" w:eastAsia="Inter" w:hAnsi="Inter" w:cs="Inter"/>
          <w:sz w:val="24"/>
          <w:szCs w:val="24"/>
        </w:rPr>
      </w:pPr>
      <w:r w:rsidRPr="00F939EF">
        <w:rPr>
          <w:rFonts w:ascii="Inter" w:eastAsia="Inter" w:hAnsi="Inter" w:cs="Inter"/>
          <w:sz w:val="24"/>
          <w:szCs w:val="24"/>
        </w:rPr>
        <w:t>States should therefore guarantee safe conditions for all individuals and organizations engaged in anti-corruption work. Non-governmental organizations should not be subject to burdensome or discriminatory registration requirements; registration systems should be declarative, simple, and non-restrictive.</w:t>
      </w:r>
      <w:r w:rsidRPr="00F939EF">
        <w:rPr>
          <w:rFonts w:ascii="Inter" w:eastAsia="Inter" w:hAnsi="Inter" w:cs="Inter"/>
          <w:sz w:val="24"/>
          <w:szCs w:val="24"/>
          <w:vertAlign w:val="superscript"/>
        </w:rPr>
        <w:footnoteReference w:id="9"/>
      </w:r>
      <w:r w:rsidRPr="00F939EF">
        <w:rPr>
          <w:rFonts w:ascii="Inter" w:eastAsia="Inter" w:hAnsi="Inter" w:cs="Inter"/>
          <w:sz w:val="24"/>
          <w:szCs w:val="24"/>
        </w:rPr>
        <w:t xml:space="preserve"> Any limitation on civic activities must comply with international human rights standards on legality, legitimate aim, necessity, and proportionality, as required under instruments such as the International Covenant on Civil and Political Rights.</w:t>
      </w:r>
      <w:r w:rsidRPr="00F939EF">
        <w:rPr>
          <w:rFonts w:ascii="Inter" w:eastAsia="Inter" w:hAnsi="Inter" w:cs="Inter"/>
          <w:sz w:val="24"/>
          <w:szCs w:val="24"/>
          <w:vertAlign w:val="superscript"/>
        </w:rPr>
        <w:t xml:space="preserve"> </w:t>
      </w:r>
      <w:r w:rsidRPr="00F939EF">
        <w:rPr>
          <w:rFonts w:ascii="Inter" w:eastAsia="Inter" w:hAnsi="Inter" w:cs="Inter"/>
          <w:sz w:val="24"/>
          <w:szCs w:val="24"/>
          <w:vertAlign w:val="superscript"/>
        </w:rPr>
        <w:footnoteReference w:id="10"/>
      </w:r>
    </w:p>
    <w:p w14:paraId="3CDC4F23" w14:textId="6B600D5E" w:rsidR="00F939EF" w:rsidRPr="00F939EF" w:rsidRDefault="00F939EF" w:rsidP="00FA7C33">
      <w:pPr>
        <w:spacing w:before="240" w:after="0"/>
        <w:jc w:val="both"/>
        <w:rPr>
          <w:rFonts w:ascii="Inter" w:eastAsia="Inter" w:hAnsi="Inter" w:cs="Inter"/>
          <w:sz w:val="24"/>
          <w:szCs w:val="24"/>
          <w:vertAlign w:val="superscript"/>
        </w:rPr>
      </w:pPr>
      <w:r w:rsidRPr="00F939EF">
        <w:rPr>
          <w:rFonts w:ascii="Inter" w:eastAsia="Inter" w:hAnsi="Inter" w:cs="Inter"/>
          <w:sz w:val="24"/>
          <w:szCs w:val="24"/>
        </w:rPr>
        <w:t>Laws governing associations, media, protest, and access to information must include safeguards to prevent their misuse against civil society organizations working on corruption. This is especially critical in contexts where corruption-related protests have been met with disproportionate force or where civic mobilization around corruption cases is treated as a security threat.</w:t>
      </w:r>
      <w:r w:rsidRPr="00F939EF">
        <w:rPr>
          <w:rFonts w:ascii="Inter" w:eastAsia="Inter" w:hAnsi="Inter" w:cs="Inter"/>
          <w:sz w:val="24"/>
          <w:szCs w:val="24"/>
          <w:vertAlign w:val="superscript"/>
        </w:rPr>
        <w:footnoteReference w:id="11"/>
      </w:r>
    </w:p>
    <w:p w14:paraId="6AD4BA18" w14:textId="77777777" w:rsidR="00F939EF" w:rsidRPr="00F939EF" w:rsidRDefault="00F939EF" w:rsidP="00FA7C33">
      <w:pPr>
        <w:spacing w:before="240" w:after="0"/>
        <w:jc w:val="both"/>
        <w:rPr>
          <w:rFonts w:ascii="Inter" w:eastAsia="Inter" w:hAnsi="Inter" w:cs="Inter"/>
          <w:sz w:val="24"/>
          <w:szCs w:val="24"/>
        </w:rPr>
      </w:pPr>
      <w:r w:rsidRPr="00F939EF">
        <w:rPr>
          <w:rFonts w:ascii="Inter" w:eastAsia="Inter" w:hAnsi="Inter" w:cs="Inter"/>
          <w:sz w:val="24"/>
          <w:szCs w:val="24"/>
        </w:rPr>
        <w:t>Institutional arrangements should also support meaningful participation. States should incorporate transparency, non-discrimination, and participation in national anti-corruption strategies, oversight mechanisms, and in processes associated with the Implementation Review Mechanism. Independent oversight bodies should be empowered to investigate violations against civil society actors and provide effective remedies.</w:t>
      </w:r>
      <w:r w:rsidRPr="00F939EF">
        <w:rPr>
          <w:rFonts w:ascii="Inter" w:eastAsia="Inter" w:hAnsi="Inter" w:cs="Inter"/>
          <w:sz w:val="24"/>
          <w:szCs w:val="24"/>
          <w:vertAlign w:val="superscript"/>
        </w:rPr>
        <w:footnoteReference w:id="12"/>
      </w:r>
      <w:r w:rsidRPr="00F939EF">
        <w:rPr>
          <w:rFonts w:ascii="Inter" w:eastAsia="Inter" w:hAnsi="Inter" w:cs="Inter"/>
          <w:sz w:val="24"/>
          <w:szCs w:val="24"/>
        </w:rPr>
        <w:t xml:space="preserve"> Administrative dissolution of associations should only occur through a final, independent judicial decision with full due process guarantees.</w:t>
      </w:r>
      <w:r w:rsidRPr="00F939EF">
        <w:rPr>
          <w:rFonts w:ascii="Inter" w:eastAsia="Inter" w:hAnsi="Inter" w:cs="Inter"/>
          <w:sz w:val="24"/>
          <w:szCs w:val="24"/>
          <w:vertAlign w:val="superscript"/>
        </w:rPr>
        <w:footnoteReference w:id="13"/>
      </w:r>
      <w:r w:rsidRPr="00F939EF">
        <w:rPr>
          <w:rFonts w:ascii="Inter" w:eastAsia="Inter" w:hAnsi="Inter" w:cs="Inter"/>
          <w:sz w:val="24"/>
          <w:szCs w:val="24"/>
        </w:rPr>
        <w:t xml:space="preserve"> </w:t>
      </w:r>
    </w:p>
    <w:p w14:paraId="7DF41663" w14:textId="77777777" w:rsidR="00F939EF" w:rsidRDefault="00F939EF" w:rsidP="00F939EF">
      <w:pPr>
        <w:spacing w:after="0"/>
        <w:jc w:val="both"/>
        <w:rPr>
          <w:rFonts w:ascii="Inter" w:eastAsia="Inter" w:hAnsi="Inter" w:cs="Inter"/>
          <w:i/>
          <w:iCs/>
          <w:sz w:val="24"/>
          <w:szCs w:val="24"/>
        </w:rPr>
      </w:pPr>
    </w:p>
    <w:p w14:paraId="61CE7D2C" w14:textId="77777777" w:rsidR="00FA7C33" w:rsidRPr="00F939EF" w:rsidRDefault="00FA7C33" w:rsidP="00F939EF">
      <w:pPr>
        <w:spacing w:after="0"/>
        <w:jc w:val="both"/>
        <w:rPr>
          <w:rFonts w:ascii="Inter" w:eastAsia="Inter" w:hAnsi="Inter" w:cs="Inter"/>
          <w:i/>
          <w:iCs/>
          <w:sz w:val="24"/>
          <w:szCs w:val="24"/>
        </w:rPr>
      </w:pPr>
    </w:p>
    <w:p w14:paraId="18F40614" w14:textId="1EA16734" w:rsidR="00F939EF" w:rsidRPr="00F939EF" w:rsidRDefault="00F939EF" w:rsidP="00F939EF">
      <w:pPr>
        <w:spacing w:after="0"/>
        <w:jc w:val="both"/>
        <w:rPr>
          <w:rFonts w:ascii="Inter" w:eastAsia="Inter" w:hAnsi="Inter" w:cs="Inter"/>
          <w:i/>
          <w:iCs/>
          <w:sz w:val="24"/>
          <w:szCs w:val="24"/>
        </w:rPr>
      </w:pPr>
      <w:r w:rsidRPr="00F939EF">
        <w:rPr>
          <w:rFonts w:ascii="Inter" w:eastAsia="Inter" w:hAnsi="Inter" w:cs="Inter"/>
          <w:i/>
          <w:iCs/>
          <w:sz w:val="24"/>
          <w:szCs w:val="24"/>
        </w:rPr>
        <w:lastRenderedPageBreak/>
        <w:t xml:space="preserve">Artificial Intelligence (AI), Anti-Corruption and Human Rights </w:t>
      </w:r>
    </w:p>
    <w:p w14:paraId="7EDC845B" w14:textId="4D0CABB4" w:rsidR="00F939EF" w:rsidRPr="00F939EF" w:rsidRDefault="00F939EF" w:rsidP="00FA7C33">
      <w:pPr>
        <w:spacing w:before="240"/>
        <w:jc w:val="both"/>
        <w:rPr>
          <w:rFonts w:ascii="Inter" w:eastAsia="Inter" w:hAnsi="Inter" w:cs="Inter"/>
          <w:sz w:val="24"/>
          <w:szCs w:val="24"/>
        </w:rPr>
      </w:pPr>
      <w:r w:rsidRPr="00F939EF">
        <w:rPr>
          <w:rFonts w:ascii="Inter" w:eastAsia="Inter" w:hAnsi="Inter" w:cs="Inter"/>
          <w:sz w:val="24"/>
          <w:szCs w:val="24"/>
        </w:rPr>
        <w:t>AI and digital technologies can help improve transparency, detect corruption risks, and strengthen oversight. However, unregulated or poorly designed AI systems can also entrench discrimination, obscure decision-making, and be intentionally abused for the private benefit of entrusted powerholders</w:t>
      </w:r>
      <w:r w:rsidR="00DC7619">
        <w:rPr>
          <w:rFonts w:ascii="Inter" w:eastAsia="Inter" w:hAnsi="Inter" w:cs="Inter"/>
          <w:sz w:val="24"/>
          <w:szCs w:val="24"/>
        </w:rPr>
        <w:t>.</w:t>
      </w:r>
      <w:r w:rsidRPr="00F939EF">
        <w:rPr>
          <w:rFonts w:ascii="Inter" w:eastAsia="Inter" w:hAnsi="Inter" w:cs="Inter"/>
          <w:sz w:val="24"/>
          <w:szCs w:val="24"/>
          <w:vertAlign w:val="superscript"/>
        </w:rPr>
        <w:footnoteReference w:id="14"/>
      </w:r>
    </w:p>
    <w:p w14:paraId="4AF8693F" w14:textId="7A23EC28" w:rsidR="00F939EF" w:rsidRPr="00F939EF" w:rsidRDefault="00F939EF" w:rsidP="00FA7C33">
      <w:pPr>
        <w:jc w:val="both"/>
        <w:rPr>
          <w:rFonts w:ascii="Inter" w:eastAsia="Inter" w:hAnsi="Inter" w:cs="Inter"/>
          <w:sz w:val="24"/>
          <w:szCs w:val="24"/>
        </w:rPr>
      </w:pPr>
      <w:r w:rsidRPr="00F939EF">
        <w:rPr>
          <w:rFonts w:ascii="Inter" w:eastAsia="Inter" w:hAnsi="Inter" w:cs="Inter"/>
          <w:sz w:val="24"/>
          <w:szCs w:val="24"/>
        </w:rPr>
        <w:t xml:space="preserve">States should place human rights and anti-corruption principles at the </w:t>
      </w:r>
      <w:proofErr w:type="spellStart"/>
      <w:r w:rsidRPr="00F939EF">
        <w:rPr>
          <w:rFonts w:ascii="Inter" w:eastAsia="Inter" w:hAnsi="Inter" w:cs="Inter"/>
          <w:sz w:val="24"/>
          <w:szCs w:val="24"/>
        </w:rPr>
        <w:t>center</w:t>
      </w:r>
      <w:proofErr w:type="spellEnd"/>
      <w:r w:rsidRPr="00F939EF">
        <w:rPr>
          <w:rFonts w:ascii="Inter" w:eastAsia="Inter" w:hAnsi="Inter" w:cs="Inter"/>
          <w:sz w:val="24"/>
          <w:szCs w:val="24"/>
        </w:rPr>
        <w:t xml:space="preserve"> of all AI-related laws, policies, and regulatory frameworks.</w:t>
      </w:r>
      <w:r w:rsidRPr="00F939EF">
        <w:rPr>
          <w:rFonts w:ascii="Inter" w:eastAsia="Inter" w:hAnsi="Inter" w:cs="Inter"/>
          <w:sz w:val="24"/>
          <w:szCs w:val="24"/>
          <w:vertAlign w:val="superscript"/>
        </w:rPr>
        <w:footnoteReference w:id="15"/>
      </w:r>
      <w:r w:rsidRPr="00F939EF">
        <w:rPr>
          <w:rFonts w:ascii="Inter" w:eastAsia="Inter" w:hAnsi="Inter" w:cs="Inter"/>
          <w:sz w:val="24"/>
          <w:szCs w:val="24"/>
        </w:rPr>
        <w:t xml:space="preserve"> Algorithmic governance should be treated as both a human rights issue and an anti-corruption concern. Digital systems must not introduce new corruption risks or create opaque decision-making environments. Strong protections should be in place to ensure the integrity of data used in public systems.</w:t>
      </w:r>
      <w:r w:rsidRPr="00F939EF">
        <w:rPr>
          <w:rFonts w:ascii="Inter" w:eastAsia="Inter" w:hAnsi="Inter" w:cs="Inter"/>
          <w:sz w:val="24"/>
          <w:szCs w:val="24"/>
          <w:vertAlign w:val="superscript"/>
        </w:rPr>
        <w:footnoteReference w:id="16"/>
      </w:r>
    </w:p>
    <w:p w14:paraId="5B963B30" w14:textId="4F27BD95" w:rsidR="00F939EF" w:rsidRPr="00F939EF" w:rsidRDefault="00F939EF" w:rsidP="00F939EF">
      <w:pPr>
        <w:spacing w:after="0"/>
        <w:jc w:val="both"/>
        <w:rPr>
          <w:rFonts w:ascii="Inter" w:eastAsia="Inter" w:hAnsi="Inter" w:cs="Inter"/>
          <w:sz w:val="24"/>
          <w:szCs w:val="24"/>
        </w:rPr>
      </w:pPr>
      <w:r w:rsidRPr="00F939EF">
        <w:rPr>
          <w:rFonts w:ascii="Inter" w:eastAsia="Inter" w:hAnsi="Inter" w:cs="Inter"/>
          <w:sz w:val="24"/>
          <w:szCs w:val="24"/>
        </w:rPr>
        <w:t>AI regulations must be aligned with UNCAC obligations and international standards on digital rights. Human rights and corruption impact assessments should be required before the adoption of new technologies, with regular reviews throughout the system’s lifecycle.</w:t>
      </w:r>
      <w:r w:rsidRPr="00F939EF">
        <w:rPr>
          <w:rFonts w:ascii="Inter" w:eastAsia="Inter" w:hAnsi="Inter" w:cs="Inter"/>
          <w:sz w:val="24"/>
          <w:szCs w:val="24"/>
          <w:vertAlign w:val="superscript"/>
        </w:rPr>
        <w:footnoteReference w:id="17"/>
      </w:r>
      <w:r w:rsidRPr="00F939EF">
        <w:rPr>
          <w:rFonts w:ascii="Inter" w:eastAsia="Inter" w:hAnsi="Inter" w:cs="Inter"/>
          <w:sz w:val="24"/>
          <w:szCs w:val="24"/>
        </w:rPr>
        <w:t xml:space="preserve"> Training datasets should be representative and inclusive to prevent the reinforcement of structural inequalities. Public and private actors deploying AI should be required to implement safeguards and continuous monitoring to detect and mitigate discriminatory outcomes and potential corrupt uses.</w:t>
      </w:r>
    </w:p>
    <w:p w14:paraId="4536A86D" w14:textId="42A0CB21" w:rsidR="00F939EF" w:rsidRPr="00F939EF" w:rsidRDefault="00F939EF" w:rsidP="00FA7C33">
      <w:pPr>
        <w:spacing w:before="240" w:after="0"/>
        <w:jc w:val="both"/>
        <w:rPr>
          <w:rFonts w:ascii="Inter" w:eastAsia="Inter" w:hAnsi="Inter" w:cs="Inter"/>
          <w:sz w:val="24"/>
          <w:szCs w:val="24"/>
        </w:rPr>
      </w:pPr>
      <w:r w:rsidRPr="00F939EF">
        <w:rPr>
          <w:rFonts w:ascii="Inter" w:eastAsia="Inter" w:hAnsi="Inter" w:cs="Inter"/>
          <w:sz w:val="24"/>
          <w:szCs w:val="24"/>
        </w:rPr>
        <w:t>Certain high-risk uses of AI require strict limits. Fully automated decision-making should not be used in contexts affecting rights, including criminal justice, judicial case assignment, procurement monitoring, social protection systems, or whistleblower screening. AI systems used in public administration must be explainable and auditable, and any decision affecting rights must be accompanied by a clear, accessible justification.</w:t>
      </w:r>
    </w:p>
    <w:p w14:paraId="3DEED24F" w14:textId="2D9D8E33" w:rsidR="00F939EF" w:rsidRPr="00F939EF" w:rsidRDefault="00F939EF" w:rsidP="00FA7C33">
      <w:pPr>
        <w:spacing w:before="240" w:after="0"/>
        <w:jc w:val="both"/>
        <w:rPr>
          <w:rFonts w:ascii="Inter" w:eastAsia="Inter" w:hAnsi="Inter" w:cs="Inter"/>
          <w:sz w:val="24"/>
          <w:szCs w:val="24"/>
        </w:rPr>
      </w:pPr>
      <w:r w:rsidRPr="00F939EF">
        <w:rPr>
          <w:rFonts w:ascii="Inter" w:eastAsia="Inter" w:hAnsi="Inter" w:cs="Inter"/>
          <w:sz w:val="24"/>
          <w:szCs w:val="24"/>
        </w:rPr>
        <w:t xml:space="preserve">States should prohibit AI systems designed to obstruct transparency, for example, tools that manipulate public records, filter access-to-information requests, or automate political censorship. Conversely, public-interest AI tools that help detect corruption risks, such as </w:t>
      </w:r>
      <w:r w:rsidRPr="00F939EF">
        <w:rPr>
          <w:rFonts w:ascii="Inter" w:eastAsia="Inter" w:hAnsi="Inter" w:cs="Inter"/>
          <w:sz w:val="24"/>
          <w:szCs w:val="24"/>
        </w:rPr>
        <w:lastRenderedPageBreak/>
        <w:t>irregular procurement patterns or conflicts of interest, should be supported, preferably through open-source approaches that allow civic oversight.</w:t>
      </w:r>
    </w:p>
    <w:p w14:paraId="3E729E89" w14:textId="106512DF" w:rsidR="00F939EF" w:rsidRPr="00F939EF" w:rsidRDefault="00F939EF" w:rsidP="00FA7C33">
      <w:pPr>
        <w:spacing w:before="240" w:after="0"/>
        <w:jc w:val="both"/>
        <w:rPr>
          <w:rFonts w:ascii="Inter" w:eastAsia="Inter" w:hAnsi="Inter" w:cs="Inter"/>
          <w:sz w:val="24"/>
          <w:szCs w:val="24"/>
        </w:rPr>
      </w:pPr>
      <w:r w:rsidRPr="00F939EF">
        <w:rPr>
          <w:rFonts w:ascii="Inter" w:eastAsia="Inter" w:hAnsi="Inter" w:cs="Inter"/>
          <w:sz w:val="24"/>
          <w:szCs w:val="24"/>
        </w:rPr>
        <w:t xml:space="preserve">Before procuring or deploying AI in sensitive areas such as law enforcement, </w:t>
      </w:r>
      <w:proofErr w:type="spellStart"/>
      <w:r w:rsidRPr="00F939EF">
        <w:rPr>
          <w:rFonts w:ascii="Inter" w:eastAsia="Inter" w:hAnsi="Inter" w:cs="Inter"/>
          <w:sz w:val="24"/>
          <w:szCs w:val="24"/>
        </w:rPr>
        <w:t>defense</w:t>
      </w:r>
      <w:proofErr w:type="spellEnd"/>
      <w:r w:rsidRPr="00F939EF">
        <w:rPr>
          <w:rFonts w:ascii="Inter" w:eastAsia="Inter" w:hAnsi="Inter" w:cs="Inter"/>
          <w:sz w:val="24"/>
          <w:szCs w:val="24"/>
        </w:rPr>
        <w:t>, or public finance, States should assess technologies according to their human rights and corruption risks. High-risk systems should be strictly regulated or subject to moratoriums. Systems used in workplace monitoring, fraud detection, or public complaints mechanisms must not expose whistleblowers, civil society actors, or victims to profiling or retaliation.</w:t>
      </w:r>
    </w:p>
    <w:p w14:paraId="6ECD9C38" w14:textId="77777777" w:rsidR="00F939EF" w:rsidRPr="00F939EF" w:rsidRDefault="00F939EF" w:rsidP="00FA7C33">
      <w:pPr>
        <w:spacing w:before="240" w:after="0"/>
        <w:jc w:val="both"/>
        <w:rPr>
          <w:rFonts w:ascii="Inter" w:eastAsia="Inter" w:hAnsi="Inter" w:cs="Inter"/>
          <w:sz w:val="24"/>
          <w:szCs w:val="24"/>
        </w:rPr>
      </w:pPr>
      <w:r w:rsidRPr="00F939EF">
        <w:rPr>
          <w:rFonts w:ascii="Inter" w:eastAsia="Inter" w:hAnsi="Inter" w:cs="Inter"/>
          <w:sz w:val="24"/>
          <w:szCs w:val="24"/>
        </w:rPr>
        <w:t>Accessible and independent remedies must be available for individuals or groups affected by discriminatory or harmful AI decisions.</w:t>
      </w:r>
      <w:r w:rsidRPr="00F939EF">
        <w:rPr>
          <w:rFonts w:ascii="Inter" w:eastAsia="Inter" w:hAnsi="Inter" w:cs="Inter"/>
          <w:sz w:val="24"/>
          <w:szCs w:val="24"/>
          <w:vertAlign w:val="superscript"/>
        </w:rPr>
        <w:footnoteReference w:id="18"/>
      </w:r>
      <w:r w:rsidRPr="00F939EF">
        <w:rPr>
          <w:rFonts w:ascii="Inter" w:eastAsia="Inter" w:hAnsi="Inter" w:cs="Inter"/>
          <w:sz w:val="24"/>
          <w:szCs w:val="24"/>
        </w:rPr>
        <w:t xml:space="preserve">  In the health sector and similar areas, States should conduct transparent, inclusive impact assessments prior to deployment and throughout use. </w:t>
      </w:r>
      <w:r w:rsidRPr="00F939EF">
        <w:rPr>
          <w:rFonts w:ascii="Inter" w:eastAsia="Inter" w:hAnsi="Inter" w:cs="Inter"/>
          <w:sz w:val="24"/>
          <w:szCs w:val="24"/>
          <w:vertAlign w:val="superscript"/>
        </w:rPr>
        <w:footnoteReference w:id="19"/>
      </w:r>
      <w:r w:rsidRPr="00F939EF">
        <w:rPr>
          <w:rFonts w:ascii="Inter" w:eastAsia="Inter" w:hAnsi="Inter" w:cs="Inter"/>
          <w:sz w:val="24"/>
          <w:szCs w:val="24"/>
          <w:vertAlign w:val="superscript"/>
        </w:rPr>
        <w:t xml:space="preserve"> </w:t>
      </w:r>
      <w:r w:rsidRPr="00F939EF">
        <w:rPr>
          <w:rFonts w:ascii="Inter" w:eastAsia="Inter" w:hAnsi="Inter" w:cs="Inter"/>
          <w:sz w:val="24"/>
          <w:szCs w:val="24"/>
        </w:rPr>
        <w:t xml:space="preserve">These processes should involve civil society organizations, public-interest groups, and representatives of marginalized communities to ensure that decisions reflect public needs and values rather than solely technical or commercial priorities. </w:t>
      </w:r>
      <w:r w:rsidRPr="00F939EF">
        <w:rPr>
          <w:rFonts w:ascii="Inter" w:eastAsia="Inter" w:hAnsi="Inter" w:cs="Inter"/>
          <w:sz w:val="24"/>
          <w:szCs w:val="24"/>
          <w:vertAlign w:val="superscript"/>
        </w:rPr>
        <w:footnoteReference w:id="20"/>
      </w:r>
    </w:p>
    <w:p w14:paraId="1D6BF7AC" w14:textId="77777777" w:rsidR="009F2C07" w:rsidRPr="00F939EF" w:rsidRDefault="009F2C07" w:rsidP="004C120F">
      <w:pPr>
        <w:spacing w:after="0"/>
        <w:jc w:val="both"/>
        <w:rPr>
          <w:rFonts w:ascii="Inter" w:eastAsia="Inter" w:hAnsi="Inter" w:cs="Inter"/>
          <w:sz w:val="24"/>
          <w:szCs w:val="24"/>
        </w:rPr>
      </w:pPr>
    </w:p>
    <w:sectPr w:rsidR="009F2C07" w:rsidRPr="00F939EF" w:rsidSect="00BC2368">
      <w:headerReference w:type="default" r:id="rId8"/>
      <w:footerReference w:type="default" r:id="rId9"/>
      <w:headerReference w:type="first" r:id="rId10"/>
      <w:footerReference w:type="first" r:id="rId11"/>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BB1BD" w14:textId="77777777" w:rsidR="008C052E" w:rsidRDefault="008C052E" w:rsidP="00F04F4E">
      <w:pPr>
        <w:spacing w:after="0"/>
      </w:pPr>
      <w:r>
        <w:separator/>
      </w:r>
    </w:p>
  </w:endnote>
  <w:endnote w:type="continuationSeparator" w:id="0">
    <w:p w14:paraId="77C799E6" w14:textId="77777777" w:rsidR="008C052E" w:rsidRDefault="008C052E" w:rsidP="00F04F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9808828F-AF14-4043-843F-296FEFF6E6F4}"/>
  </w:font>
  <w:font w:name="Times New Roman">
    <w:panose1 w:val="02020603050405020304"/>
    <w:charset w:val="00"/>
    <w:family w:val="roman"/>
    <w:pitch w:val="variable"/>
    <w:sig w:usb0="E0002EFF" w:usb1="C000785B" w:usb2="00000009" w:usb3="00000000" w:csb0="000001FF" w:csb1="00000000"/>
    <w:embedRegular r:id="rId2" w:fontKey="{423059B9-5A1E-5442-9892-2C920AD8C30C}"/>
    <w:embedBold r:id="rId3" w:fontKey="{53FC4AB0-8C84-3D48-8214-FDCF709A4293}"/>
    <w:embedItalic r:id="rId4" w:fontKey="{6B5CD1C4-98DC-1C4E-B5B1-FB150ABF7B0F}"/>
  </w:font>
  <w:font w:name="Courier New">
    <w:panose1 w:val="02070309020205020404"/>
    <w:charset w:val="00"/>
    <w:family w:val="modern"/>
    <w:pitch w:val="fixed"/>
    <w:sig w:usb0="E0002AFF" w:usb1="C0007843" w:usb2="00000009" w:usb3="00000000" w:csb0="000001FF" w:csb1="00000000"/>
    <w:embedRegular r:id="rId5" w:fontKey="{98E07F01-47EF-E044-A7CB-4D7D0F99B3D1}"/>
  </w:font>
  <w:font w:name="Wingdings">
    <w:panose1 w:val="05000000000000000000"/>
    <w:charset w:val="4D"/>
    <w:family w:val="decorative"/>
    <w:pitch w:val="variable"/>
    <w:sig w:usb0="00000003" w:usb1="00000000" w:usb2="00000000" w:usb3="00000000" w:csb0="80000001" w:csb1="00000000"/>
    <w:embedRegular r:id="rId6" w:fontKey="{0C500343-B416-F64C-91AF-BBE3C83D429A}"/>
  </w:font>
  <w:font w:name="Calibri">
    <w:panose1 w:val="020F0502020204030204"/>
    <w:charset w:val="00"/>
    <w:family w:val="swiss"/>
    <w:pitch w:val="variable"/>
    <w:sig w:usb0="E0002AFF" w:usb1="C000247B" w:usb2="00000009" w:usb3="00000000" w:csb0="000001FF" w:csb1="00000000"/>
    <w:embedBold r:id="rId7" w:fontKey="{73FA5AF0-59D0-F04E-A29B-8197392A8CBA}"/>
  </w:font>
  <w:font w:name="Noto Sans">
    <w:panose1 w:val="020B0502040504020204"/>
    <w:charset w:val="00"/>
    <w:family w:val="swiss"/>
    <w:pitch w:val="variable"/>
    <w:sig w:usb0="E00082FF" w:usb1="400078FF" w:usb2="00000021" w:usb3="00000000" w:csb0="0000019F" w:csb1="00000000"/>
    <w:embedRegular r:id="rId8" w:fontKey="{59D87076-A1E0-F44B-B089-D37CC7EDA1E9}"/>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15" w:fontKey="{66DB0CC1-6CAB-8D49-82AC-8E7ECC2327CA}"/>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embedRegular r:id="rId16" w:fontKey="{02255482-2C49-6349-8F2A-E59C99F4096F}"/>
  </w:font>
  <w:font w:name="Tahoma">
    <w:panose1 w:val="020B0604030504040204"/>
    <w:charset w:val="00"/>
    <w:family w:val="swiss"/>
    <w:pitch w:val="variable"/>
    <w:sig w:usb0="E1002EFF" w:usb1="C000605B" w:usb2="00000029" w:usb3="00000000" w:csb0="000101FF" w:csb1="00000000"/>
    <w:embedRegular r:id="rId17" w:fontKey="{6B789660-137C-D145-809B-E217A7E2D822}"/>
  </w:font>
  <w:font w:name="Roboto">
    <w:panose1 w:val="020B0604020202020204"/>
    <w:charset w:val="00"/>
    <w:family w:val="auto"/>
    <w:pitch w:val="variable"/>
    <w:sig w:usb0="E0000AFF" w:usb1="5000217F" w:usb2="00000021" w:usb3="00000000" w:csb0="0000019F" w:csb1="00000000"/>
    <w:embedRegular r:id="rId18" w:fontKey="{3E7EED9A-548E-E140-90CF-855A110DA3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AC06" w14:textId="77777777" w:rsidR="0074030F" w:rsidRPr="00CE4209" w:rsidRDefault="00CE4209" w:rsidP="00CE4209">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sidR="00155435">
      <w:rPr>
        <w:rStyle w:val="PageNumber"/>
        <w:noProof/>
      </w:rPr>
      <w:t>1</w:t>
    </w:r>
    <w:r w:rsidRPr="00CE420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E57D9" w14:textId="77777777" w:rsidR="00D7094D" w:rsidRDefault="00D7094D" w:rsidP="00D7094D">
    <w:pPr>
      <w:pStyle w:val="Footer"/>
    </w:pPr>
    <w:r w:rsidRPr="00CE4209">
      <w:rPr>
        <w:rStyle w:val="PageNumber"/>
      </w:rPr>
      <w:fldChar w:fldCharType="begin"/>
    </w:r>
    <w:r w:rsidRPr="00CE4209">
      <w:rPr>
        <w:rStyle w:val="PageNumber"/>
      </w:rPr>
      <w:instrText xml:space="preserve"> PAGE </w:instrText>
    </w:r>
    <w:r w:rsidRPr="00CE4209">
      <w:rPr>
        <w:rStyle w:val="PageNumber"/>
      </w:rPr>
      <w:fldChar w:fldCharType="separate"/>
    </w:r>
    <w:r>
      <w:rPr>
        <w:rStyle w:val="PageNumber"/>
      </w:rPr>
      <w:t>2</w:t>
    </w:r>
    <w:r w:rsidRPr="00CE420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F86D40" w14:textId="77777777" w:rsidR="008C052E" w:rsidRDefault="008C052E" w:rsidP="00F04F4E">
      <w:pPr>
        <w:spacing w:after="0"/>
      </w:pPr>
      <w:r>
        <w:separator/>
      </w:r>
    </w:p>
  </w:footnote>
  <w:footnote w:type="continuationSeparator" w:id="0">
    <w:p w14:paraId="5CD3DFE0" w14:textId="77777777" w:rsidR="008C052E" w:rsidRDefault="008C052E" w:rsidP="00F04F4E">
      <w:pPr>
        <w:spacing w:after="0"/>
      </w:pPr>
      <w:r>
        <w:continuationSeparator/>
      </w:r>
    </w:p>
  </w:footnote>
  <w:footnote w:id="1">
    <w:p w14:paraId="66C0C3C9" w14:textId="77777777" w:rsidR="00BB5213" w:rsidRDefault="00311C5E" w:rsidP="00BB5213">
      <w:pPr>
        <w:pStyle w:val="FootnoteText"/>
        <w:spacing w:line="240" w:lineRule="auto"/>
        <w:rPr>
          <w:color w:val="000000" w:themeColor="text1"/>
          <w:sz w:val="20"/>
          <w:szCs w:val="20"/>
        </w:rPr>
      </w:pPr>
      <w:r w:rsidRPr="00311C5E">
        <w:rPr>
          <w:rStyle w:val="FootnoteReference"/>
          <w:color w:val="000000" w:themeColor="text1"/>
          <w:szCs w:val="20"/>
        </w:rPr>
        <w:footnoteRef/>
      </w:r>
      <w:r w:rsidRPr="00311C5E">
        <w:rPr>
          <w:color w:val="000000" w:themeColor="text1"/>
          <w:sz w:val="20"/>
          <w:szCs w:val="20"/>
        </w:rPr>
        <w:t xml:space="preserve"> </w:t>
      </w:r>
      <w:r w:rsidR="00BB5213" w:rsidRPr="00BB5213">
        <w:rPr>
          <w:color w:val="000000" w:themeColor="text1"/>
          <w:sz w:val="20"/>
          <w:szCs w:val="20"/>
        </w:rPr>
        <w:t xml:space="preserve">The Global Civil Society Coalition for the UNCAC’s Working Group on Human Rights and Corruption comprises </w:t>
      </w:r>
    </w:p>
    <w:p w14:paraId="5642ED13" w14:textId="77777777" w:rsidR="00BB5213" w:rsidRDefault="00BB5213" w:rsidP="00BB5213">
      <w:pPr>
        <w:pStyle w:val="FootnoteText"/>
        <w:spacing w:line="240" w:lineRule="auto"/>
        <w:rPr>
          <w:color w:val="000000" w:themeColor="text1"/>
          <w:sz w:val="20"/>
          <w:szCs w:val="20"/>
        </w:rPr>
      </w:pPr>
      <w:r w:rsidRPr="00BB5213">
        <w:rPr>
          <w:color w:val="000000" w:themeColor="text1"/>
          <w:sz w:val="20"/>
          <w:szCs w:val="20"/>
        </w:rPr>
        <w:t xml:space="preserve">almost 240 members, from civil society organizations, activists, academia and other stakeholders. This platform </w:t>
      </w:r>
    </w:p>
    <w:p w14:paraId="3B5DC33B" w14:textId="77777777" w:rsidR="00BB5213" w:rsidRDefault="00BB5213" w:rsidP="00BB5213">
      <w:pPr>
        <w:pStyle w:val="FootnoteText"/>
        <w:spacing w:line="240" w:lineRule="auto"/>
        <w:rPr>
          <w:color w:val="000000" w:themeColor="text1"/>
          <w:sz w:val="20"/>
          <w:szCs w:val="20"/>
        </w:rPr>
      </w:pPr>
      <w:r w:rsidRPr="00BB5213">
        <w:rPr>
          <w:color w:val="000000" w:themeColor="text1"/>
          <w:sz w:val="20"/>
          <w:szCs w:val="20"/>
        </w:rPr>
        <w:t xml:space="preserve">serves to foster discussions, exchange knowledge, and share experiences among experts on human rights and </w:t>
      </w:r>
    </w:p>
    <w:p w14:paraId="7AA05072" w14:textId="77777777" w:rsidR="00BB5213" w:rsidRDefault="00BB5213" w:rsidP="00BB5213">
      <w:pPr>
        <w:pStyle w:val="FootnoteText"/>
        <w:spacing w:line="240" w:lineRule="auto"/>
        <w:rPr>
          <w:color w:val="000000" w:themeColor="text1"/>
          <w:sz w:val="20"/>
          <w:szCs w:val="20"/>
        </w:rPr>
      </w:pPr>
      <w:r w:rsidRPr="00BB5213">
        <w:rPr>
          <w:color w:val="000000" w:themeColor="text1"/>
          <w:sz w:val="20"/>
          <w:szCs w:val="20"/>
        </w:rPr>
        <w:t xml:space="preserve">corruption. Additionally, the Working Group provides a space for the coordination of advocacy efforts and the </w:t>
      </w:r>
    </w:p>
    <w:p w14:paraId="3F5E2D4D" w14:textId="77777777" w:rsidR="00BB5213" w:rsidRDefault="00BB5213" w:rsidP="00BB5213">
      <w:pPr>
        <w:pStyle w:val="FootnoteText"/>
        <w:spacing w:line="240" w:lineRule="auto"/>
        <w:rPr>
          <w:color w:val="000000" w:themeColor="text1"/>
          <w:sz w:val="20"/>
          <w:szCs w:val="20"/>
        </w:rPr>
      </w:pPr>
      <w:r w:rsidRPr="00BB5213">
        <w:rPr>
          <w:color w:val="000000" w:themeColor="text1"/>
          <w:sz w:val="20"/>
          <w:szCs w:val="20"/>
        </w:rPr>
        <w:t xml:space="preserve">advancement of international and regional laws and policies in this regard. UNCAC Coalition. “Human Rights </w:t>
      </w:r>
    </w:p>
    <w:p w14:paraId="6BCA95E8" w14:textId="77777777" w:rsidR="00BB5213" w:rsidRDefault="00BB5213" w:rsidP="00BB5213">
      <w:pPr>
        <w:pStyle w:val="FootnoteText"/>
        <w:spacing w:line="240" w:lineRule="auto"/>
        <w:rPr>
          <w:color w:val="000000" w:themeColor="text1"/>
          <w:sz w:val="20"/>
          <w:szCs w:val="20"/>
        </w:rPr>
      </w:pPr>
      <w:r w:rsidRPr="00BB5213">
        <w:rPr>
          <w:color w:val="000000" w:themeColor="text1"/>
          <w:sz w:val="20"/>
          <w:szCs w:val="20"/>
        </w:rPr>
        <w:t xml:space="preserve">and Corruption,” accessed 20 November 2025. </w:t>
      </w:r>
    </w:p>
    <w:p w14:paraId="65DE4E1C" w14:textId="477854CC" w:rsidR="00311C5E" w:rsidRPr="003F0494" w:rsidRDefault="00BB5213" w:rsidP="00BB5213">
      <w:pPr>
        <w:pStyle w:val="FootnoteText"/>
        <w:spacing w:line="240" w:lineRule="auto"/>
        <w:rPr>
          <w:sz w:val="20"/>
          <w:szCs w:val="20"/>
          <w:u w:val="single"/>
          <w:lang w:val="en-AT"/>
        </w:rPr>
      </w:pPr>
      <w:hyperlink r:id="rId1" w:history="1">
        <w:r w:rsidRPr="00943FD5">
          <w:rPr>
            <w:rStyle w:val="Hyperlink"/>
            <w:sz w:val="20"/>
            <w:szCs w:val="20"/>
          </w:rPr>
          <w:t>https://uncaccoalition.org/get-involved/working-groups/human-rights-and-corruption/</w:t>
        </w:r>
      </w:hyperlink>
      <w:r w:rsidRPr="00BB5213">
        <w:rPr>
          <w:color w:val="000000" w:themeColor="text1"/>
          <w:sz w:val="20"/>
          <w:szCs w:val="20"/>
        </w:rPr>
        <w:t>.</w:t>
      </w:r>
    </w:p>
  </w:footnote>
  <w:footnote w:id="2">
    <w:p w14:paraId="7017A72B" w14:textId="77777777" w:rsidR="00F939EF" w:rsidRDefault="00F939EF" w:rsidP="00F939EF">
      <w:pPr>
        <w:spacing w:line="240" w:lineRule="auto"/>
        <w:rPr>
          <w:szCs w:val="20"/>
        </w:rPr>
      </w:pPr>
      <w:r w:rsidRPr="00731971">
        <w:rPr>
          <w:rStyle w:val="FootnoteReference"/>
          <w:color w:val="000000" w:themeColor="text1"/>
        </w:rPr>
        <w:footnoteRef/>
      </w:r>
      <w:r w:rsidRPr="00731971">
        <w:rPr>
          <w:color w:val="000000" w:themeColor="text1"/>
          <w:szCs w:val="20"/>
        </w:rPr>
        <w:t xml:space="preserve"> UNCAC </w:t>
      </w:r>
      <w:r>
        <w:rPr>
          <w:szCs w:val="20"/>
        </w:rPr>
        <w:t xml:space="preserve">Coalition. “Systemic Integration of Human Rights in Anti-Corruption Frameworks: A Policy Guide,” accessed on 21 November 2025. </w:t>
      </w:r>
      <w:hyperlink r:id="rId2">
        <w:r>
          <w:rPr>
            <w:color w:val="1155CC"/>
            <w:szCs w:val="20"/>
            <w:u w:val="single"/>
          </w:rPr>
          <w:t>https://uncaccoalition.org/systemic-integration-of-human-rights-in-anti-corruption-frameworks/</w:t>
        </w:r>
      </w:hyperlink>
      <w:r>
        <w:rPr>
          <w:szCs w:val="20"/>
        </w:rPr>
        <w:t>.</w:t>
      </w:r>
    </w:p>
  </w:footnote>
  <w:footnote w:id="3">
    <w:p w14:paraId="60EF0647" w14:textId="77777777"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Article </w:t>
      </w:r>
      <w:r>
        <w:rPr>
          <w:szCs w:val="20"/>
        </w:rPr>
        <w:t xml:space="preserve">31 of “Vienna Convention on the Law of Treaties,” done at Vienna on 23 May 1969, entered into force on 27 January 1980, United Nations Treaty Series no.1155: 331, </w:t>
      </w:r>
      <w:hyperlink r:id="rId3">
        <w:r>
          <w:rPr>
            <w:color w:val="1155CC"/>
            <w:szCs w:val="20"/>
            <w:u w:val="single"/>
          </w:rPr>
          <w:t>https://legal.un.org/ilc/texts/instruments/english/conventions/1_1_1969.pdf</w:t>
        </w:r>
      </w:hyperlink>
      <w:r>
        <w:rPr>
          <w:szCs w:val="20"/>
        </w:rPr>
        <w:t>.</w:t>
      </w:r>
    </w:p>
  </w:footnote>
  <w:footnote w:id="4">
    <w:p w14:paraId="4CD0CE40" w14:textId="77777777"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OHCHR</w:t>
      </w:r>
      <w:r>
        <w:rPr>
          <w:szCs w:val="20"/>
        </w:rPr>
        <w:t xml:space="preserve">. “Basic </w:t>
      </w:r>
      <w:r>
        <w:rPr>
          <w:i/>
          <w:iCs/>
          <w:szCs w:val="20"/>
        </w:rPr>
        <w:t>Principles on the Independence of Judiciary</w:t>
      </w:r>
      <w:r>
        <w:rPr>
          <w:szCs w:val="20"/>
        </w:rPr>
        <w:t xml:space="preserve">,” adopted 6 September 1985. </w:t>
      </w:r>
      <w:hyperlink r:id="rId4">
        <w:r>
          <w:rPr>
            <w:color w:val="1155CC"/>
            <w:szCs w:val="20"/>
            <w:u w:val="single"/>
          </w:rPr>
          <w:t>https://www.ohchr.org/en/instruments-mechanisms/instruments/basic-principles-independence-judiciary</w:t>
        </w:r>
      </w:hyperlink>
      <w:r>
        <w:rPr>
          <w:szCs w:val="20"/>
        </w:rPr>
        <w:t xml:space="preserve">. </w:t>
      </w:r>
    </w:p>
  </w:footnote>
  <w:footnote w:id="5">
    <w:p w14:paraId="01853BC7" w14:textId="6F3530D3"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OHCHR</w:t>
      </w:r>
      <w:r>
        <w:rPr>
          <w:szCs w:val="20"/>
        </w:rPr>
        <w:t xml:space="preserve">. “A/HRC/44/47: Independence of judges and lawyers - Report of the Special Rapporteur on the independence of judges and lawyers,” published 23 March 2020. </w:t>
      </w:r>
      <w:hyperlink r:id="rId5">
        <w:r>
          <w:rPr>
            <w:color w:val="0000FF"/>
            <w:szCs w:val="20"/>
            <w:u w:val="single"/>
          </w:rPr>
          <w:t>https://www.ohchr.org/en/documents/thematic-reports/ahrc4447-independence-judges-and-lawyers-report-special-rapporteur</w:t>
        </w:r>
      </w:hyperlink>
      <w:r w:rsidR="00470FDA">
        <w:t>.</w:t>
      </w:r>
      <w:r>
        <w:rPr>
          <w:szCs w:val="20"/>
        </w:rPr>
        <w:t xml:space="preserve"> </w:t>
      </w:r>
    </w:p>
  </w:footnote>
  <w:footnote w:id="6">
    <w:p w14:paraId="6F53028E" w14:textId="77777777" w:rsidR="00F939EF" w:rsidRDefault="00F939EF" w:rsidP="00F939EF">
      <w:pPr>
        <w:spacing w:after="0" w:line="240" w:lineRule="auto"/>
        <w:rPr>
          <w:i/>
          <w:iCs/>
          <w:szCs w:val="20"/>
        </w:rPr>
      </w:pPr>
      <w:r w:rsidRPr="00F939EF">
        <w:rPr>
          <w:rStyle w:val="FootnoteReference"/>
          <w:color w:val="000000" w:themeColor="text1"/>
        </w:rPr>
        <w:footnoteRef/>
      </w:r>
      <w:r w:rsidRPr="00F939EF">
        <w:rPr>
          <w:color w:val="000000" w:themeColor="text1"/>
          <w:szCs w:val="20"/>
        </w:rPr>
        <w:t xml:space="preserve"> “</w:t>
      </w:r>
      <w:r w:rsidRPr="00F939EF">
        <w:rPr>
          <w:i/>
          <w:iCs/>
          <w:color w:val="000000" w:themeColor="text1"/>
          <w:szCs w:val="20"/>
        </w:rPr>
        <w:t>44</w:t>
      </w:r>
      <w:r>
        <w:rPr>
          <w:i/>
          <w:iCs/>
          <w:szCs w:val="20"/>
        </w:rPr>
        <w:t xml:space="preserve">. Disciplinary sanctions, including suspension or removal, may be imposed on individual judges in ways that undermine human rights and democratic values, for example when judges are disciplined for work to uphold the human rights of groups experiencing social opprobrium. Judges may also be disciplined in apparent reprisal for their opinions in high-profile electoral cases or when speaking on issues related to the functioning of the judiciary. In a case in the United States of America, the Special Rapporteur received allegations that a judge was investigated for speaking out against racial injustice within the legal system. </w:t>
      </w:r>
    </w:p>
    <w:p w14:paraId="5E95E371" w14:textId="77777777" w:rsidR="00F939EF" w:rsidRDefault="00F939EF" w:rsidP="00F939EF">
      <w:pPr>
        <w:spacing w:after="0" w:line="240" w:lineRule="auto"/>
        <w:rPr>
          <w:rFonts w:ascii="Times New Roman" w:eastAsia="Times New Roman" w:hAnsi="Times New Roman" w:cs="Times New Roman"/>
          <w:i/>
          <w:iCs/>
          <w:szCs w:val="20"/>
        </w:rPr>
      </w:pPr>
      <w:r>
        <w:rPr>
          <w:i/>
          <w:iCs/>
          <w:szCs w:val="20"/>
        </w:rPr>
        <w:t>45. Cases in which judges have allegedly been removed from office for objecting to legislative amendments, 85 for imposing convictions in political corruption cases 86 or for challenging corruption in international courts were described in submissions for the report.87 In some instances, such removal allegedly occurred without due process.”</w:t>
      </w:r>
      <w:r>
        <w:rPr>
          <w:rFonts w:ascii="Times New Roman" w:eastAsia="Times New Roman" w:hAnsi="Times New Roman" w:cs="Times New Roman"/>
          <w:i/>
          <w:iCs/>
          <w:szCs w:val="20"/>
        </w:rPr>
        <w:t xml:space="preserve"> </w:t>
      </w:r>
    </w:p>
    <w:p w14:paraId="374353F9" w14:textId="77777777" w:rsidR="00F939EF" w:rsidRDefault="00F939EF" w:rsidP="00F939EF">
      <w:pPr>
        <w:spacing w:after="0" w:line="240" w:lineRule="auto"/>
        <w:rPr>
          <w:szCs w:val="20"/>
        </w:rPr>
      </w:pPr>
      <w:r>
        <w:rPr>
          <w:szCs w:val="20"/>
        </w:rPr>
        <w:t xml:space="preserve">Margaret Satterthwaite, “Safeguarding the independence of judicial systems in the face of contemporary challenges to democracy: Report of the Special Rapporteur on the independence of judges and lawyers, Margaret Satterthwaite,” A/HRC/56/62, Human Rights Council, 21 June 2024. </w:t>
      </w:r>
      <w:hyperlink r:id="rId6">
        <w:r>
          <w:rPr>
            <w:color w:val="1155CC"/>
            <w:szCs w:val="20"/>
            <w:u w:val="single"/>
          </w:rPr>
          <w:t>https://docs.un.org/en/A/HRC/56/62</w:t>
        </w:r>
      </w:hyperlink>
      <w:r>
        <w:rPr>
          <w:szCs w:val="20"/>
        </w:rPr>
        <w:t>.</w:t>
      </w:r>
    </w:p>
  </w:footnote>
  <w:footnote w:id="7">
    <w:p w14:paraId="2CF93CD8" w14:textId="77777777"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Paragraph </w:t>
      </w:r>
      <w:r>
        <w:rPr>
          <w:szCs w:val="20"/>
        </w:rPr>
        <w:t>76 in: Inter-American Commission on Human Rights, “Corruption and Human Rights in the Americas: Inter-American Standards,” OEA/</w:t>
      </w:r>
      <w:proofErr w:type="spellStart"/>
      <w:r>
        <w:rPr>
          <w:szCs w:val="20"/>
        </w:rPr>
        <w:t>Ser.L</w:t>
      </w:r>
      <w:proofErr w:type="spellEnd"/>
      <w:r>
        <w:rPr>
          <w:szCs w:val="20"/>
        </w:rPr>
        <w:t xml:space="preserve">/V/II, 6 December 2019. </w:t>
      </w:r>
      <w:hyperlink r:id="rId7">
        <w:r>
          <w:rPr>
            <w:color w:val="0000FF"/>
            <w:szCs w:val="20"/>
            <w:u w:val="single"/>
          </w:rPr>
          <w:t>https://www.oas.org/en/iachr/reports/pdfs/CorruptionHR.pdf</w:t>
        </w:r>
      </w:hyperlink>
      <w:r>
        <w:rPr>
          <w:szCs w:val="20"/>
        </w:rPr>
        <w:t xml:space="preserve">. </w:t>
      </w:r>
    </w:p>
  </w:footnote>
  <w:footnote w:id="8">
    <w:p w14:paraId="709FE596" w14:textId="048B4DD2"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Paragraph </w:t>
      </w:r>
      <w:r>
        <w:rPr>
          <w:szCs w:val="20"/>
        </w:rPr>
        <w:t xml:space="preserve">178 in: </w:t>
      </w:r>
      <w:r>
        <w:rPr>
          <w:i/>
          <w:iCs/>
          <w:szCs w:val="20"/>
        </w:rPr>
        <w:t xml:space="preserve">Caso Andrade </w:t>
      </w:r>
      <w:proofErr w:type="spellStart"/>
      <w:r>
        <w:rPr>
          <w:i/>
          <w:iCs/>
          <w:szCs w:val="20"/>
        </w:rPr>
        <w:t>Salmón</w:t>
      </w:r>
      <w:proofErr w:type="spellEnd"/>
      <w:r>
        <w:rPr>
          <w:i/>
          <w:iCs/>
          <w:szCs w:val="20"/>
        </w:rPr>
        <w:t xml:space="preserve"> vs. Bolivia</w:t>
      </w:r>
      <w:r>
        <w:rPr>
          <w:szCs w:val="20"/>
        </w:rPr>
        <w:t xml:space="preserve">, Corte Interamericana de </w:t>
      </w:r>
      <w:proofErr w:type="spellStart"/>
      <w:r>
        <w:rPr>
          <w:szCs w:val="20"/>
        </w:rPr>
        <w:t>Derechos</w:t>
      </w:r>
      <w:proofErr w:type="spellEnd"/>
      <w:r>
        <w:rPr>
          <w:szCs w:val="20"/>
        </w:rPr>
        <w:t xml:space="preserve"> Humanos, (1 </w:t>
      </w:r>
      <w:proofErr w:type="spellStart"/>
      <w:r>
        <w:rPr>
          <w:szCs w:val="20"/>
        </w:rPr>
        <w:t>diciembre</w:t>
      </w:r>
      <w:proofErr w:type="spellEnd"/>
      <w:r>
        <w:rPr>
          <w:szCs w:val="20"/>
        </w:rPr>
        <w:t xml:space="preserve"> 2016). </w:t>
      </w:r>
      <w:hyperlink r:id="rId8">
        <w:r>
          <w:rPr>
            <w:color w:val="0000FF"/>
            <w:szCs w:val="20"/>
            <w:u w:val="single"/>
          </w:rPr>
          <w:t>https://www.corteidh.or.cr/docs/casos/articulos/seriec_330_esp.pdf</w:t>
        </w:r>
      </w:hyperlink>
      <w:r w:rsidR="00470FDA">
        <w:t>.</w:t>
      </w:r>
      <w:r>
        <w:rPr>
          <w:szCs w:val="20"/>
        </w:rPr>
        <w:t xml:space="preserve"> </w:t>
      </w:r>
    </w:p>
  </w:footnote>
  <w:footnote w:id="9">
    <w:p w14:paraId="41379165" w14:textId="669F100D" w:rsidR="00F939EF" w:rsidRDefault="00F939EF" w:rsidP="00F939EF">
      <w:pPr>
        <w:spacing w:after="0" w:line="240" w:lineRule="auto"/>
        <w:rPr>
          <w:szCs w:val="20"/>
        </w:rPr>
      </w:pPr>
      <w:r w:rsidRPr="00F939EF">
        <w:rPr>
          <w:rStyle w:val="FootnoteReference"/>
          <w:color w:val="000000" w:themeColor="text1"/>
        </w:rPr>
        <w:footnoteRef/>
      </w:r>
      <w:r w:rsidRPr="00F939EF">
        <w:rPr>
          <w:rFonts w:ascii="Times New Roman" w:eastAsia="Times New Roman" w:hAnsi="Times New Roman" w:cs="Times New Roman"/>
          <w:color w:val="000000" w:themeColor="text1"/>
          <w:szCs w:val="20"/>
        </w:rPr>
        <w:t xml:space="preserve"> </w:t>
      </w:r>
      <w:r w:rsidRPr="00F939EF">
        <w:rPr>
          <w:color w:val="000000" w:themeColor="text1"/>
          <w:szCs w:val="20"/>
        </w:rPr>
        <w:t>Basis</w:t>
      </w:r>
      <w:r>
        <w:rPr>
          <w:szCs w:val="20"/>
        </w:rPr>
        <w:t xml:space="preserve">: International Covenant on Civil and Political Rights Article 22; American Convention on Human Rights Article 16; United Nations, “Report of the Special Rapporteur on the situation of human rights defenders,” A/64/226, 4 August 2009. </w:t>
      </w:r>
      <w:hyperlink r:id="rId9">
        <w:r>
          <w:rPr>
            <w:color w:val="1155CC"/>
            <w:szCs w:val="20"/>
            <w:u w:val="single"/>
          </w:rPr>
          <w:t>https://docs.un.org/en/A/64/226</w:t>
        </w:r>
      </w:hyperlink>
      <w:r>
        <w:rPr>
          <w:szCs w:val="20"/>
        </w:rPr>
        <w:t xml:space="preserve">; </w:t>
      </w:r>
      <w:r>
        <w:rPr>
          <w:i/>
          <w:iCs/>
          <w:szCs w:val="20"/>
        </w:rPr>
        <w:t xml:space="preserve">Luis Miguel </w:t>
      </w:r>
      <w:proofErr w:type="spellStart"/>
      <w:r>
        <w:rPr>
          <w:i/>
          <w:iCs/>
          <w:szCs w:val="20"/>
        </w:rPr>
        <w:t>Sirumbal</w:t>
      </w:r>
      <w:proofErr w:type="spellEnd"/>
      <w:r>
        <w:rPr>
          <w:i/>
          <w:iCs/>
          <w:szCs w:val="20"/>
        </w:rPr>
        <w:t xml:space="preserve"> Ramos y 8.438 </w:t>
      </w:r>
      <w:proofErr w:type="spellStart"/>
      <w:r>
        <w:rPr>
          <w:i/>
          <w:iCs/>
          <w:szCs w:val="20"/>
        </w:rPr>
        <w:t>ciudadanos</w:t>
      </w:r>
      <w:proofErr w:type="spellEnd"/>
      <w:r>
        <w:rPr>
          <w:i/>
          <w:iCs/>
          <w:szCs w:val="20"/>
        </w:rPr>
        <w:t xml:space="preserve"> y </w:t>
      </w:r>
      <w:proofErr w:type="spellStart"/>
      <w:r>
        <w:rPr>
          <w:i/>
          <w:iCs/>
          <w:szCs w:val="20"/>
        </w:rPr>
        <w:t>Congresistas</w:t>
      </w:r>
      <w:proofErr w:type="spellEnd"/>
      <w:r>
        <w:rPr>
          <w:i/>
          <w:iCs/>
          <w:szCs w:val="20"/>
        </w:rPr>
        <w:t xml:space="preserve"> de la Republica del Perú (</w:t>
      </w:r>
      <w:proofErr w:type="spellStart"/>
      <w:r>
        <w:rPr>
          <w:i/>
          <w:iCs/>
          <w:szCs w:val="20"/>
        </w:rPr>
        <w:t>demandantes</w:t>
      </w:r>
      <w:proofErr w:type="spellEnd"/>
      <w:r>
        <w:rPr>
          <w:i/>
          <w:iCs/>
          <w:szCs w:val="20"/>
        </w:rPr>
        <w:t>) c. Congreso de la República (</w:t>
      </w:r>
      <w:proofErr w:type="spellStart"/>
      <w:r>
        <w:rPr>
          <w:i/>
          <w:iCs/>
          <w:szCs w:val="20"/>
        </w:rPr>
        <w:t>demandado</w:t>
      </w:r>
      <w:proofErr w:type="spellEnd"/>
      <w:r>
        <w:rPr>
          <w:i/>
          <w:iCs/>
          <w:szCs w:val="20"/>
        </w:rPr>
        <w:t>),</w:t>
      </w:r>
      <w:r>
        <w:rPr>
          <w:rFonts w:ascii="Times New Roman" w:eastAsia="Times New Roman" w:hAnsi="Times New Roman" w:cs="Times New Roman"/>
          <w:b/>
          <w:bCs/>
          <w:sz w:val="24"/>
          <w:szCs w:val="24"/>
        </w:rPr>
        <w:t xml:space="preserve"> </w:t>
      </w:r>
      <w:r>
        <w:rPr>
          <w:szCs w:val="20"/>
        </w:rPr>
        <w:t xml:space="preserve">Tribunal </w:t>
      </w:r>
      <w:proofErr w:type="spellStart"/>
      <w:r>
        <w:rPr>
          <w:szCs w:val="20"/>
        </w:rPr>
        <w:t>Constitucional</w:t>
      </w:r>
      <w:proofErr w:type="spellEnd"/>
      <w:r>
        <w:rPr>
          <w:szCs w:val="20"/>
        </w:rPr>
        <w:t xml:space="preserve"> del Perú, </w:t>
      </w:r>
      <w:proofErr w:type="spellStart"/>
      <w:r>
        <w:rPr>
          <w:i/>
          <w:iCs/>
          <w:szCs w:val="20"/>
        </w:rPr>
        <w:t>Decisión</w:t>
      </w:r>
      <w:proofErr w:type="spellEnd"/>
      <w:r>
        <w:rPr>
          <w:i/>
          <w:iCs/>
          <w:szCs w:val="20"/>
        </w:rPr>
        <w:t xml:space="preserve"> </w:t>
      </w:r>
      <w:proofErr w:type="gramStart"/>
      <w:r>
        <w:rPr>
          <w:i/>
          <w:iCs/>
          <w:szCs w:val="20"/>
        </w:rPr>
        <w:t>N.º</w:t>
      </w:r>
      <w:proofErr w:type="gramEnd"/>
      <w:r>
        <w:rPr>
          <w:i/>
          <w:iCs/>
          <w:szCs w:val="20"/>
        </w:rPr>
        <w:t xml:space="preserve"> 00009-2007-AI / 00010-2007-AI (</w:t>
      </w:r>
      <w:proofErr w:type="spellStart"/>
      <w:r>
        <w:rPr>
          <w:i/>
          <w:iCs/>
          <w:szCs w:val="20"/>
        </w:rPr>
        <w:t>acumulados</w:t>
      </w:r>
      <w:proofErr w:type="spellEnd"/>
      <w:r>
        <w:rPr>
          <w:i/>
          <w:iCs/>
          <w:szCs w:val="20"/>
        </w:rPr>
        <w:t>)</w:t>
      </w:r>
      <w:r>
        <w:rPr>
          <w:szCs w:val="20"/>
        </w:rPr>
        <w:t xml:space="preserve">, </w:t>
      </w:r>
      <w:proofErr w:type="spellStart"/>
      <w:r>
        <w:rPr>
          <w:szCs w:val="20"/>
        </w:rPr>
        <w:t>párr</w:t>
      </w:r>
      <w:proofErr w:type="spellEnd"/>
      <w:r>
        <w:rPr>
          <w:szCs w:val="20"/>
        </w:rPr>
        <w:t xml:space="preserve">. 95, 2007, (29 </w:t>
      </w:r>
      <w:proofErr w:type="spellStart"/>
      <w:r>
        <w:rPr>
          <w:szCs w:val="20"/>
        </w:rPr>
        <w:t>agosto</w:t>
      </w:r>
      <w:proofErr w:type="spellEnd"/>
      <w:r>
        <w:rPr>
          <w:szCs w:val="20"/>
        </w:rPr>
        <w:t xml:space="preserve"> 2007). </w:t>
      </w:r>
      <w:hyperlink r:id="rId10">
        <w:r>
          <w:rPr>
            <w:color w:val="1155CC"/>
            <w:szCs w:val="20"/>
            <w:u w:val="single"/>
          </w:rPr>
          <w:t>https://www.tc.gob.pe/jurisprudencia/2007/00009-2007-AI%2000010-2007-AI.html</w:t>
        </w:r>
      </w:hyperlink>
      <w:r>
        <w:rPr>
          <w:szCs w:val="20"/>
        </w:rPr>
        <w:t>.</w:t>
      </w:r>
    </w:p>
  </w:footnote>
  <w:footnote w:id="10">
    <w:p w14:paraId="0BD1AABC" w14:textId="77777777" w:rsidR="00F939EF" w:rsidRPr="00F939EF" w:rsidRDefault="00F939EF" w:rsidP="00F939EF">
      <w:pPr>
        <w:spacing w:after="0" w:line="240" w:lineRule="auto"/>
        <w:rPr>
          <w:color w:val="000000" w:themeColor="text1"/>
          <w:szCs w:val="20"/>
        </w:rPr>
      </w:pPr>
      <w:r w:rsidRPr="00F939EF">
        <w:rPr>
          <w:rStyle w:val="FootnoteReference"/>
          <w:color w:val="000000" w:themeColor="text1"/>
        </w:rPr>
        <w:footnoteRef/>
      </w:r>
      <w:r w:rsidRPr="00F939EF">
        <w:rPr>
          <w:color w:val="000000" w:themeColor="text1"/>
          <w:szCs w:val="20"/>
        </w:rPr>
        <w:t xml:space="preserve"> Basis</w:t>
      </w:r>
      <w:r>
        <w:rPr>
          <w:szCs w:val="20"/>
        </w:rPr>
        <w:t xml:space="preserve">: International Covenant on Civil and Political Rights Article 22(2); American Convention on Human Rights Article 16(2); Human Rights Committee General Comment No. 25; </w:t>
      </w:r>
      <w:r>
        <w:rPr>
          <w:i/>
          <w:iCs/>
          <w:szCs w:val="20"/>
        </w:rPr>
        <w:t xml:space="preserve">López Lone v. Honduras, </w:t>
      </w:r>
      <w:r>
        <w:rPr>
          <w:szCs w:val="20"/>
        </w:rPr>
        <w:t>Inter-</w:t>
      </w:r>
      <w:r w:rsidRPr="00F939EF">
        <w:rPr>
          <w:color w:val="000000" w:themeColor="text1"/>
          <w:szCs w:val="20"/>
        </w:rPr>
        <w:t>American Court on Human Rights</w:t>
      </w:r>
      <w:r w:rsidRPr="00F939EF">
        <w:rPr>
          <w:i/>
          <w:iCs/>
          <w:color w:val="000000" w:themeColor="text1"/>
          <w:szCs w:val="20"/>
        </w:rPr>
        <w:t xml:space="preserve"> </w:t>
      </w:r>
      <w:r w:rsidRPr="00F939EF">
        <w:rPr>
          <w:color w:val="000000" w:themeColor="text1"/>
          <w:szCs w:val="20"/>
        </w:rPr>
        <w:t>(2015).</w:t>
      </w:r>
    </w:p>
  </w:footnote>
  <w:footnote w:id="11">
    <w:p w14:paraId="058F9603" w14:textId="7F37B73C"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See how the UNCAC provisions can be used as a strong basis to continue improving the human right to access </w:t>
      </w:r>
      <w:r>
        <w:rPr>
          <w:szCs w:val="20"/>
        </w:rPr>
        <w:t xml:space="preserve">to information here: </w:t>
      </w:r>
      <w:hyperlink r:id="rId11">
        <w:r>
          <w:rPr>
            <w:color w:val="0000FF"/>
            <w:szCs w:val="20"/>
            <w:u w:val="single"/>
          </w:rPr>
          <w:t>https://www.article19.org/wp-content/uploads/2022/12/UNCAC-Guide-FInal.pdf</w:t>
        </w:r>
      </w:hyperlink>
      <w:r w:rsidR="00470FDA">
        <w:t>.</w:t>
      </w:r>
      <w:r>
        <w:rPr>
          <w:szCs w:val="20"/>
        </w:rPr>
        <w:t xml:space="preserve"> </w:t>
      </w:r>
    </w:p>
  </w:footnote>
  <w:footnote w:id="12">
    <w:p w14:paraId="707AAEE7" w14:textId="77777777"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“Inter</w:t>
      </w:r>
      <w:r>
        <w:rPr>
          <w:szCs w:val="20"/>
        </w:rPr>
        <w:t xml:space="preserve">-American Convention Against Corruption”, adopted at the third plenary session, March 29, 1996. </w:t>
      </w:r>
      <w:hyperlink r:id="rId12">
        <w:r>
          <w:rPr>
            <w:color w:val="0000FF"/>
            <w:szCs w:val="20"/>
            <w:u w:val="single"/>
          </w:rPr>
          <w:t>https://www.oas.org/en/sla/dil/docs/inter_american_treaties_B-58_against_Corruption.pdf</w:t>
        </w:r>
      </w:hyperlink>
      <w:r>
        <w:rPr>
          <w:szCs w:val="20"/>
        </w:rPr>
        <w:t xml:space="preserve">. </w:t>
      </w:r>
    </w:p>
  </w:footnote>
  <w:footnote w:id="13">
    <w:p w14:paraId="2D94CE81" w14:textId="77777777"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Basis</w:t>
      </w:r>
      <w:r>
        <w:rPr>
          <w:szCs w:val="20"/>
        </w:rPr>
        <w:t xml:space="preserve">: International Covenant on Civil and Political Rights Article 22; American Convention on Human Rights Articles 8 and 16; Human Rights Council. “Report of the Special Rapporteur on the rights to freedom of peaceful assembly and of association, Maina Kai,” A/HRC/23/39, 24 April 2013. </w:t>
      </w:r>
      <w:hyperlink r:id="rId13">
        <w:r>
          <w:rPr>
            <w:color w:val="1155CC"/>
            <w:szCs w:val="20"/>
            <w:u w:val="single"/>
          </w:rPr>
          <w:t>https://docs.un.org/en/A/HRC/23/39</w:t>
        </w:r>
      </w:hyperlink>
      <w:r>
        <w:rPr>
          <w:szCs w:val="20"/>
        </w:rPr>
        <w:t xml:space="preserve">. </w:t>
      </w:r>
    </w:p>
  </w:footnote>
  <w:footnote w:id="14">
    <w:p w14:paraId="40C2E4A2" w14:textId="29E2B7D0"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w:t>
      </w:r>
      <w:r w:rsidRPr="00470FDA">
        <w:rPr>
          <w:color w:val="000000" w:themeColor="text1"/>
          <w:szCs w:val="20"/>
        </w:rPr>
        <w:t xml:space="preserve">Transparency </w:t>
      </w:r>
      <w:r w:rsidRPr="00470FDA">
        <w:rPr>
          <w:szCs w:val="20"/>
        </w:rPr>
        <w:t>International</w:t>
      </w:r>
      <w:r w:rsidR="00470FDA" w:rsidRPr="00470FDA">
        <w:rPr>
          <w:szCs w:val="20"/>
        </w:rPr>
        <w:t>.</w:t>
      </w:r>
      <w:r w:rsidRPr="00470FDA">
        <w:rPr>
          <w:szCs w:val="20"/>
        </w:rPr>
        <w:t xml:space="preserve"> </w:t>
      </w:r>
      <w:r w:rsidR="00470FDA" w:rsidRPr="00470FDA">
        <w:rPr>
          <w:szCs w:val="20"/>
        </w:rPr>
        <w:t>“</w:t>
      </w:r>
      <w:r w:rsidRPr="00470FDA">
        <w:rPr>
          <w:szCs w:val="20"/>
        </w:rPr>
        <w:t>Addressing Corrupt Uses of Artificial Intelligence,</w:t>
      </w:r>
      <w:r w:rsidR="00470FDA" w:rsidRPr="00470FDA">
        <w:rPr>
          <w:szCs w:val="20"/>
        </w:rPr>
        <w:t>” 2025.</w:t>
      </w:r>
      <w:r w:rsidRPr="00470FDA">
        <w:rPr>
          <w:szCs w:val="20"/>
        </w:rPr>
        <w:t xml:space="preserve"> </w:t>
      </w:r>
      <w:hyperlink r:id="rId14">
        <w:r w:rsidRPr="00470FDA">
          <w:rPr>
            <w:rFonts w:eastAsia="Roboto" w:cs="Roboto"/>
            <w:color w:val="0B57D0"/>
            <w:szCs w:val="20"/>
            <w:highlight w:val="white"/>
            <w:u w:val="single"/>
          </w:rPr>
          <w:t>https://www.transparency.org/en/publications/addressing-corrupt-uses-of-artificial-intelligence</w:t>
        </w:r>
      </w:hyperlink>
      <w:r w:rsidR="00470FDA" w:rsidRPr="00470FDA">
        <w:rPr>
          <w:szCs w:val="20"/>
        </w:rPr>
        <w:t>.</w:t>
      </w:r>
    </w:p>
  </w:footnote>
  <w:footnote w:id="15">
    <w:p w14:paraId="0FC9F66B" w14:textId="40700B03"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UNESCO</w:t>
      </w:r>
      <w:r>
        <w:rPr>
          <w:szCs w:val="20"/>
        </w:rPr>
        <w:t xml:space="preserve">. “Recommendation on the Ethics of Artificial Intelligence,” adopted on 23 November 2021. </w:t>
      </w:r>
      <w:hyperlink r:id="rId15">
        <w:r>
          <w:rPr>
            <w:color w:val="1155CC"/>
            <w:szCs w:val="20"/>
            <w:u w:val="single"/>
          </w:rPr>
          <w:t>https://unesdoc.unesco.org/ark:/48223/pf0000381137/PDF/381137eng.pdf.multi.page=1&amp;zoom=auto,-16,842</w:t>
        </w:r>
      </w:hyperlink>
      <w:r w:rsidR="00470FDA">
        <w:t>.</w:t>
      </w:r>
      <w:r>
        <w:rPr>
          <w:szCs w:val="20"/>
        </w:rPr>
        <w:t xml:space="preserve"> </w:t>
      </w:r>
    </w:p>
  </w:footnote>
  <w:footnote w:id="16">
    <w:p w14:paraId="51FF18FF" w14:textId="177D63F2"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“The </w:t>
      </w:r>
      <w:r>
        <w:rPr>
          <w:szCs w:val="20"/>
        </w:rPr>
        <w:t xml:space="preserve">Toronto Declaration: Protecting the right to equality and non-discrimination in machine learning systems,” 2018. </w:t>
      </w:r>
      <w:hyperlink r:id="rId16">
        <w:r>
          <w:rPr>
            <w:color w:val="0000FF"/>
            <w:szCs w:val="20"/>
            <w:u w:val="single"/>
          </w:rPr>
          <w:t>https://www.torontodeclaration.org/declaration-text/english/</w:t>
        </w:r>
      </w:hyperlink>
      <w:r w:rsidR="00470FDA">
        <w:t>.</w:t>
      </w:r>
      <w:r>
        <w:rPr>
          <w:szCs w:val="20"/>
        </w:rPr>
        <w:t xml:space="preserve"> </w:t>
      </w:r>
    </w:p>
  </w:footnote>
  <w:footnote w:id="17">
    <w:p w14:paraId="426EDC55" w14:textId="77777777"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This aligns </w:t>
      </w:r>
      <w:r>
        <w:rPr>
          <w:szCs w:val="20"/>
        </w:rPr>
        <w:t>with the UN Guiding Principles on Business and Human Rights (Principles 17–21), which require human rights due diligence, including continuous evaluation and mitigation of risks linked to technological developments.</w:t>
      </w:r>
    </w:p>
  </w:footnote>
  <w:footnote w:id="18">
    <w:p w14:paraId="32077FB9" w14:textId="77777777"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Such </w:t>
      </w:r>
      <w:r>
        <w:rPr>
          <w:szCs w:val="20"/>
        </w:rPr>
        <w:t>mechanisms must be available prior to deployment and throughout the system’s operation, in line with Article 2(3) of the ICCPR and Article 25 of the American Convention on Human Rights, which oblige States to guarantee judicial and administrative remedies to protect individuals against rights violations.</w:t>
      </w:r>
    </w:p>
  </w:footnote>
  <w:footnote w:id="19">
    <w:p w14:paraId="64BBA3B0" w14:textId="637B6EA8"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Page </w:t>
      </w:r>
      <w:r>
        <w:rPr>
          <w:szCs w:val="20"/>
        </w:rPr>
        <w:t xml:space="preserve">105 of: World Health Organisation. “Ethics and Governance of Artificial Intelligence for Health: WHO guidance,” 2021. </w:t>
      </w:r>
      <w:hyperlink r:id="rId17">
        <w:r>
          <w:rPr>
            <w:color w:val="0000FF"/>
            <w:szCs w:val="20"/>
            <w:u w:val="single"/>
          </w:rPr>
          <w:t>https://iris.who.int/bitstream/handle/10665/341996/9789240029200-eng.pdf?sequence=1</w:t>
        </w:r>
      </w:hyperlink>
      <w:r w:rsidR="00DC7619">
        <w:rPr>
          <w:szCs w:val="20"/>
        </w:rPr>
        <w:t>.</w:t>
      </w:r>
    </w:p>
  </w:footnote>
  <w:footnote w:id="20">
    <w:p w14:paraId="0D837BB8" w14:textId="77777777" w:rsidR="00F939EF" w:rsidRDefault="00F939EF" w:rsidP="00F939EF">
      <w:pPr>
        <w:spacing w:after="0" w:line="240" w:lineRule="auto"/>
        <w:rPr>
          <w:szCs w:val="20"/>
        </w:rPr>
      </w:pPr>
      <w:r w:rsidRPr="00F939EF">
        <w:rPr>
          <w:rStyle w:val="FootnoteReference"/>
          <w:color w:val="000000" w:themeColor="text1"/>
        </w:rPr>
        <w:footnoteRef/>
      </w:r>
      <w:r w:rsidRPr="00F939EF">
        <w:rPr>
          <w:color w:val="000000" w:themeColor="text1"/>
          <w:szCs w:val="20"/>
        </w:rPr>
        <w:t xml:space="preserve"> Ibid</w:t>
      </w:r>
      <w:r>
        <w:rPr>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6AE2D" w14:textId="6E70E42C" w:rsidR="00D7094D" w:rsidRDefault="00000000">
    <w:pPr>
      <w:pStyle w:val="Header"/>
    </w:pPr>
    <w:sdt>
      <w:sdtPr>
        <w:alias w:val="Title"/>
        <w:tag w:val=""/>
        <w:id w:val="-1611743474"/>
        <w:dataBinding w:prefixMappings="xmlns:ns0='http://purl.org/dc/elements/1.1/' xmlns:ns1='http://schemas.openxmlformats.org/package/2006/metadata/core-properties' " w:xpath="/ns1:coreProperties[1]/ns0:title[1]" w:storeItemID="{6C3C8BC8-F283-45AE-878A-BAB7291924A1}"/>
        <w:text/>
      </w:sdtPr>
      <w:sdtContent>
        <w:r w:rsidR="009F2C07">
          <w:t>Recommendations for Integrating Human Rights into Anti-Corruption Frameworks</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577BA" w14:textId="4DCF1607" w:rsidR="00F939EF" w:rsidRDefault="00DC7619" w:rsidP="00D7094D">
    <w:r>
      <w:rPr>
        <w:noProof/>
        <w14:ligatures w14:val="none"/>
        <w14:numForm w14:val="default"/>
        <w14:numSpacing w14:val="default"/>
        <w14:cntxtAlts w14:val="0"/>
      </w:rPr>
      <w:drawing>
        <wp:anchor distT="0" distB="0" distL="114300" distR="114300" simplePos="0" relativeHeight="251658240" behindDoc="1" locked="0" layoutInCell="1" allowOverlap="1" wp14:anchorId="2C10BA20" wp14:editId="79306FCE">
          <wp:simplePos x="0" y="0"/>
          <wp:positionH relativeFrom="column">
            <wp:posOffset>-205740</wp:posOffset>
          </wp:positionH>
          <wp:positionV relativeFrom="paragraph">
            <wp:posOffset>19685</wp:posOffset>
          </wp:positionV>
          <wp:extent cx="2527300" cy="708660"/>
          <wp:effectExtent l="0" t="0" r="0" b="2540"/>
          <wp:wrapTight wrapText="bothSides">
            <wp:wrapPolygon edited="0">
              <wp:start x="1520" y="0"/>
              <wp:lineTo x="868" y="1548"/>
              <wp:lineTo x="0" y="5032"/>
              <wp:lineTo x="0" y="15871"/>
              <wp:lineTo x="760" y="18581"/>
              <wp:lineTo x="760" y="19355"/>
              <wp:lineTo x="1194" y="21290"/>
              <wp:lineTo x="1411" y="21290"/>
              <wp:lineTo x="15739" y="21290"/>
              <wp:lineTo x="15522" y="18968"/>
              <wp:lineTo x="15413" y="18581"/>
              <wp:lineTo x="21491" y="13548"/>
              <wp:lineTo x="21491" y="10452"/>
              <wp:lineTo x="14111" y="6194"/>
              <wp:lineTo x="21491" y="5032"/>
              <wp:lineTo x="21491" y="387"/>
              <wp:lineTo x="20840" y="0"/>
              <wp:lineTo x="1520" y="0"/>
            </wp:wrapPolygon>
          </wp:wrapTight>
          <wp:docPr id="1248280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80812" name="Picture 1248280812"/>
                  <pic:cNvPicPr/>
                </pic:nvPicPr>
                <pic:blipFill>
                  <a:blip r:embed="rId1">
                    <a:extLst>
                      <a:ext uri="{28A0092B-C50C-407E-A947-70E740481C1C}">
                        <a14:useLocalDpi xmlns:a14="http://schemas.microsoft.com/office/drawing/2010/main" val="0"/>
                      </a:ext>
                    </a:extLst>
                  </a:blip>
                  <a:stretch>
                    <a:fillRect/>
                  </a:stretch>
                </pic:blipFill>
                <pic:spPr>
                  <a:xfrm>
                    <a:off x="0" y="0"/>
                    <a:ext cx="2527300" cy="708660"/>
                  </a:xfrm>
                  <a:prstGeom prst="rect">
                    <a:avLst/>
                  </a:prstGeom>
                </pic:spPr>
              </pic:pic>
            </a:graphicData>
          </a:graphic>
          <wp14:sizeRelH relativeFrom="page">
            <wp14:pctWidth>0</wp14:pctWidth>
          </wp14:sizeRelH>
          <wp14:sizeRelV relativeFrom="page">
            <wp14:pctHeight>0</wp14:pctHeight>
          </wp14:sizeRelV>
        </wp:anchor>
      </w:drawing>
    </w:r>
  </w:p>
  <w:p w14:paraId="2CA22975" w14:textId="4DB0E410" w:rsidR="00F939EF" w:rsidRDefault="00F939EF" w:rsidP="00D7094D"/>
  <w:p w14:paraId="10A2E710" w14:textId="77777777" w:rsidR="00DC7619" w:rsidRDefault="00DC7619" w:rsidP="00DC7619">
    <w:pPr>
      <w:spacing w:after="0"/>
    </w:pPr>
  </w:p>
  <w:p w14:paraId="40B98C56" w14:textId="77777777" w:rsidR="003F0494" w:rsidRDefault="003F0494" w:rsidP="00DC7619">
    <w:pP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DC65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452F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4CE4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54E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4A24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524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0AB6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70C7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30E3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3C488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540B0"/>
    <w:multiLevelType w:val="multilevel"/>
    <w:tmpl w:val="A2B818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035C1C50"/>
    <w:multiLevelType w:val="multilevel"/>
    <w:tmpl w:val="9A16A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B1848E8"/>
    <w:multiLevelType w:val="multilevel"/>
    <w:tmpl w:val="5D060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B520530"/>
    <w:multiLevelType w:val="hybridMultilevel"/>
    <w:tmpl w:val="54F6F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D633F3F"/>
    <w:multiLevelType w:val="multilevel"/>
    <w:tmpl w:val="CF14D2EC"/>
    <w:numStyleLink w:val="UnorderedList"/>
  </w:abstractNum>
  <w:abstractNum w:abstractNumId="15" w15:restartNumberingAfterBreak="0">
    <w:nsid w:val="11773DB0"/>
    <w:multiLevelType w:val="multilevel"/>
    <w:tmpl w:val="88C8FA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1912A2A"/>
    <w:multiLevelType w:val="multilevel"/>
    <w:tmpl w:val="A55418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123E1732"/>
    <w:multiLevelType w:val="multilevel"/>
    <w:tmpl w:val="1F00C5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143E5593"/>
    <w:multiLevelType w:val="multilevel"/>
    <w:tmpl w:val="7D3A9DA2"/>
    <w:lvl w:ilvl="0">
      <w:start w:val="1"/>
      <w:numFmt w:val="bullet"/>
      <w:pStyle w:val="ListBullet"/>
      <w:lvlText w:val=""/>
      <w:lvlJc w:val="left"/>
      <w:pPr>
        <w:ind w:left="340" w:hanging="340"/>
      </w:pPr>
      <w:rPr>
        <w:rFonts w:ascii="Symbol" w:hAnsi="Symbol" w:hint="default"/>
      </w:rPr>
    </w:lvl>
    <w:lvl w:ilvl="1">
      <w:start w:val="1"/>
      <w:numFmt w:val="bullet"/>
      <w:pStyle w:val="ListBullet2"/>
      <w:lvlText w:val="o"/>
      <w:lvlJc w:val="left"/>
      <w:pPr>
        <w:ind w:left="907" w:hanging="340"/>
      </w:pPr>
      <w:rPr>
        <w:rFonts w:ascii="Courier New" w:hAnsi="Courier New" w:cs="Courier New" w:hint="default"/>
      </w:rPr>
    </w:lvl>
    <w:lvl w:ilvl="2">
      <w:start w:val="1"/>
      <w:numFmt w:val="bullet"/>
      <w:pStyle w:val="ListBullet3"/>
      <w:lvlText w:val=""/>
      <w:lvlJc w:val="left"/>
      <w:pPr>
        <w:ind w:left="1474" w:hanging="340"/>
      </w:pPr>
      <w:rPr>
        <w:rFonts w:ascii="Wingdings" w:hAnsi="Wingdings" w:hint="default"/>
      </w:rPr>
    </w:lvl>
    <w:lvl w:ilvl="3">
      <w:start w:val="1"/>
      <w:numFmt w:val="bullet"/>
      <w:pStyle w:val="ListBullet4"/>
      <w:lvlText w:val=""/>
      <w:lvlJc w:val="left"/>
      <w:pPr>
        <w:ind w:left="2041" w:hanging="340"/>
      </w:pPr>
      <w:rPr>
        <w:rFonts w:ascii="Symbol" w:hAnsi="Symbol" w:hint="default"/>
      </w:rPr>
    </w:lvl>
    <w:lvl w:ilvl="4">
      <w:start w:val="1"/>
      <w:numFmt w:val="bullet"/>
      <w:pStyle w:val="ListBullet5"/>
      <w:lvlText w:val="o"/>
      <w:lvlJc w:val="left"/>
      <w:pPr>
        <w:ind w:left="2608" w:hanging="340"/>
      </w:pPr>
      <w:rPr>
        <w:rFonts w:ascii="Courier New" w:hAnsi="Courier New" w:cs="Courier New" w:hint="default"/>
      </w:rPr>
    </w:lvl>
    <w:lvl w:ilvl="5">
      <w:start w:val="1"/>
      <w:numFmt w:val="bullet"/>
      <w:lvlText w:val=""/>
      <w:lvlJc w:val="left"/>
      <w:pPr>
        <w:ind w:left="3175" w:hanging="340"/>
      </w:pPr>
      <w:rPr>
        <w:rFonts w:ascii="Wingdings" w:hAnsi="Wingdings" w:hint="default"/>
      </w:rPr>
    </w:lvl>
    <w:lvl w:ilvl="6">
      <w:start w:val="1"/>
      <w:numFmt w:val="bullet"/>
      <w:lvlText w:val=""/>
      <w:lvlJc w:val="left"/>
      <w:pPr>
        <w:ind w:left="3742" w:hanging="340"/>
      </w:pPr>
      <w:rPr>
        <w:rFonts w:ascii="Symbol" w:hAnsi="Symbol" w:hint="default"/>
      </w:rPr>
    </w:lvl>
    <w:lvl w:ilvl="7">
      <w:start w:val="1"/>
      <w:numFmt w:val="bullet"/>
      <w:lvlText w:val="o"/>
      <w:lvlJc w:val="left"/>
      <w:pPr>
        <w:ind w:left="4309" w:hanging="340"/>
      </w:pPr>
      <w:rPr>
        <w:rFonts w:ascii="Courier New" w:hAnsi="Courier New" w:cs="Courier New" w:hint="default"/>
      </w:rPr>
    </w:lvl>
    <w:lvl w:ilvl="8">
      <w:start w:val="1"/>
      <w:numFmt w:val="bullet"/>
      <w:lvlText w:val=""/>
      <w:lvlJc w:val="left"/>
      <w:pPr>
        <w:ind w:left="4876" w:hanging="340"/>
      </w:pPr>
      <w:rPr>
        <w:rFonts w:ascii="Wingdings" w:hAnsi="Wingdings" w:hint="default"/>
      </w:rPr>
    </w:lvl>
  </w:abstractNum>
  <w:abstractNum w:abstractNumId="19" w15:restartNumberingAfterBreak="0">
    <w:nsid w:val="14401850"/>
    <w:multiLevelType w:val="multilevel"/>
    <w:tmpl w:val="E5CC67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155344EF"/>
    <w:multiLevelType w:val="multilevel"/>
    <w:tmpl w:val="B920A6A8"/>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1" w15:restartNumberingAfterBreak="0">
    <w:nsid w:val="15742AD9"/>
    <w:multiLevelType w:val="multilevel"/>
    <w:tmpl w:val="CF14D2EC"/>
    <w:numStyleLink w:val="UnorderedList"/>
  </w:abstractNum>
  <w:abstractNum w:abstractNumId="22" w15:restartNumberingAfterBreak="0">
    <w:nsid w:val="15825B64"/>
    <w:multiLevelType w:val="multilevel"/>
    <w:tmpl w:val="968862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6EE537E"/>
    <w:multiLevelType w:val="multilevel"/>
    <w:tmpl w:val="BA109B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04C39D7"/>
    <w:multiLevelType w:val="multilevel"/>
    <w:tmpl w:val="4C12E7D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1DC3B1D"/>
    <w:multiLevelType w:val="multilevel"/>
    <w:tmpl w:val="B920A6A8"/>
    <w:lvl w:ilvl="0">
      <w:start w:val="1"/>
      <w:numFmt w:val="decimal"/>
      <w:pStyle w:val="ListNumber"/>
      <w:lvlText w:val="%1."/>
      <w:lvlJc w:val="left"/>
      <w:pPr>
        <w:ind w:left="567" w:hanging="340"/>
      </w:pPr>
      <w:rPr>
        <w:rFonts w:hint="default"/>
      </w:rPr>
    </w:lvl>
    <w:lvl w:ilvl="1">
      <w:start w:val="1"/>
      <w:numFmt w:val="lowerLetter"/>
      <w:pStyle w:val="ListNumber2"/>
      <w:lvlText w:val="%2."/>
      <w:lvlJc w:val="left"/>
      <w:pPr>
        <w:ind w:left="1134" w:hanging="340"/>
      </w:pPr>
      <w:rPr>
        <w:rFonts w:hint="default"/>
      </w:rPr>
    </w:lvl>
    <w:lvl w:ilvl="2">
      <w:start w:val="1"/>
      <w:numFmt w:val="lowerRoman"/>
      <w:pStyle w:val="ListNumber3"/>
      <w:lvlText w:val="%3."/>
      <w:lvlJc w:val="left"/>
      <w:pPr>
        <w:ind w:left="1701" w:hanging="340"/>
      </w:pPr>
      <w:rPr>
        <w:rFonts w:hint="default"/>
      </w:rPr>
    </w:lvl>
    <w:lvl w:ilvl="3">
      <w:start w:val="1"/>
      <w:numFmt w:val="decimal"/>
      <w:pStyle w:val="ListNumber4"/>
      <w:lvlText w:val="%4."/>
      <w:lvlJc w:val="left"/>
      <w:pPr>
        <w:ind w:left="2268" w:hanging="340"/>
      </w:pPr>
      <w:rPr>
        <w:rFonts w:hint="default"/>
      </w:rPr>
    </w:lvl>
    <w:lvl w:ilvl="4">
      <w:start w:val="1"/>
      <w:numFmt w:val="lowerLetter"/>
      <w:pStyle w:val="ListNumber5"/>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26" w15:restartNumberingAfterBreak="0">
    <w:nsid w:val="22391165"/>
    <w:multiLevelType w:val="hybridMultilevel"/>
    <w:tmpl w:val="1194AE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5AE2DF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6BA74E2"/>
    <w:multiLevelType w:val="multilevel"/>
    <w:tmpl w:val="B64E69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6F07302"/>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8173711"/>
    <w:multiLevelType w:val="multilevel"/>
    <w:tmpl w:val="B07E7D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2998613A"/>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C852241"/>
    <w:multiLevelType w:val="multilevel"/>
    <w:tmpl w:val="9B7C8FD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3" w15:restartNumberingAfterBreak="0">
    <w:nsid w:val="31EC6563"/>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336C79D1"/>
    <w:multiLevelType w:val="hybridMultilevel"/>
    <w:tmpl w:val="3CA4D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59B4393"/>
    <w:multiLevelType w:val="hybridMultilevel"/>
    <w:tmpl w:val="259AE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BE7E87"/>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37" w15:restartNumberingAfterBreak="0">
    <w:nsid w:val="36202BF2"/>
    <w:multiLevelType w:val="multilevel"/>
    <w:tmpl w:val="2F16E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83C2101"/>
    <w:multiLevelType w:val="multilevel"/>
    <w:tmpl w:val="CF14D2EC"/>
    <w:numStyleLink w:val="UnorderedList"/>
  </w:abstractNum>
  <w:abstractNum w:abstractNumId="39" w15:restartNumberingAfterBreak="0">
    <w:nsid w:val="387D5039"/>
    <w:multiLevelType w:val="multilevel"/>
    <w:tmpl w:val="CF14D2EC"/>
    <w:styleLink w:val="UnorderedList"/>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40" w15:restartNumberingAfterBreak="0">
    <w:nsid w:val="3B4F7BF7"/>
    <w:multiLevelType w:val="multilevel"/>
    <w:tmpl w:val="86829178"/>
    <w:styleLink w:val="OrderedList"/>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41" w15:restartNumberingAfterBreak="0">
    <w:nsid w:val="44AF323A"/>
    <w:multiLevelType w:val="hybridMultilevel"/>
    <w:tmpl w:val="322420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4514415F"/>
    <w:multiLevelType w:val="multilevel"/>
    <w:tmpl w:val="86829178"/>
    <w:lvl w:ilvl="0">
      <w:start w:val="1"/>
      <w:numFmt w:val="decimal"/>
      <w:lvlText w:val="%1."/>
      <w:lvlJc w:val="right"/>
      <w:pPr>
        <w:ind w:left="567" w:hanging="170"/>
      </w:pPr>
      <w:rPr>
        <w:rFonts w:hint="default"/>
      </w:rPr>
    </w:lvl>
    <w:lvl w:ilvl="1">
      <w:start w:val="1"/>
      <w:numFmt w:val="lowerLetter"/>
      <w:lvlText w:val="%2."/>
      <w:lvlJc w:val="right"/>
      <w:pPr>
        <w:ind w:left="1134" w:hanging="170"/>
      </w:pPr>
      <w:rPr>
        <w:rFonts w:hint="default"/>
      </w:rPr>
    </w:lvl>
    <w:lvl w:ilvl="2">
      <w:start w:val="1"/>
      <w:numFmt w:val="lowerRoman"/>
      <w:lvlText w:val="%3."/>
      <w:lvlJc w:val="right"/>
      <w:pPr>
        <w:ind w:left="1701" w:hanging="170"/>
      </w:pPr>
      <w:rPr>
        <w:rFonts w:hint="default"/>
      </w:rPr>
    </w:lvl>
    <w:lvl w:ilvl="3">
      <w:start w:val="1"/>
      <w:numFmt w:val="decimal"/>
      <w:lvlText w:val="%4."/>
      <w:lvlJc w:val="right"/>
      <w:pPr>
        <w:ind w:left="2268" w:hanging="170"/>
      </w:pPr>
      <w:rPr>
        <w:rFonts w:hint="default"/>
      </w:rPr>
    </w:lvl>
    <w:lvl w:ilvl="4">
      <w:start w:val="1"/>
      <w:numFmt w:val="lowerLetter"/>
      <w:lvlText w:val="%5."/>
      <w:lvlJc w:val="right"/>
      <w:pPr>
        <w:ind w:left="2835" w:hanging="170"/>
      </w:pPr>
      <w:rPr>
        <w:rFonts w:hint="default"/>
      </w:rPr>
    </w:lvl>
    <w:lvl w:ilvl="5">
      <w:start w:val="1"/>
      <w:numFmt w:val="lowerRoman"/>
      <w:lvlText w:val="%6."/>
      <w:lvlJc w:val="right"/>
      <w:pPr>
        <w:ind w:left="3402" w:hanging="170"/>
      </w:pPr>
      <w:rPr>
        <w:rFonts w:hint="default"/>
      </w:rPr>
    </w:lvl>
    <w:lvl w:ilvl="6">
      <w:start w:val="1"/>
      <w:numFmt w:val="decimal"/>
      <w:lvlText w:val="%7."/>
      <w:lvlJc w:val="right"/>
      <w:pPr>
        <w:ind w:left="3969" w:hanging="170"/>
      </w:pPr>
      <w:rPr>
        <w:rFonts w:hint="default"/>
      </w:rPr>
    </w:lvl>
    <w:lvl w:ilvl="7">
      <w:start w:val="1"/>
      <w:numFmt w:val="lowerLetter"/>
      <w:lvlText w:val="%8."/>
      <w:lvlJc w:val="right"/>
      <w:pPr>
        <w:ind w:left="4536" w:hanging="170"/>
      </w:pPr>
      <w:rPr>
        <w:rFonts w:hint="default"/>
      </w:rPr>
    </w:lvl>
    <w:lvl w:ilvl="8">
      <w:start w:val="1"/>
      <w:numFmt w:val="lowerRoman"/>
      <w:lvlText w:val="%9."/>
      <w:lvlJc w:val="right"/>
      <w:pPr>
        <w:ind w:left="5103" w:hanging="170"/>
      </w:pPr>
      <w:rPr>
        <w:rFonts w:hint="default"/>
      </w:rPr>
    </w:lvl>
  </w:abstractNum>
  <w:abstractNum w:abstractNumId="43" w15:restartNumberingAfterBreak="0">
    <w:nsid w:val="4A2958EF"/>
    <w:multiLevelType w:val="multilevel"/>
    <w:tmpl w:val="CF14D2EC"/>
    <w:lvl w:ilvl="0">
      <w:start w:val="1"/>
      <w:numFmt w:val="bullet"/>
      <w:lvlText w:val="●"/>
      <w:lvlJc w:val="left"/>
      <w:pPr>
        <w:ind w:left="567" w:hanging="312"/>
      </w:pPr>
      <w:rPr>
        <w:rFonts w:ascii="Noto Sans" w:hAnsi="Noto Sans" w:hint="default"/>
      </w:rPr>
    </w:lvl>
    <w:lvl w:ilvl="1">
      <w:start w:val="1"/>
      <w:numFmt w:val="bullet"/>
      <w:lvlText w:val="○"/>
      <w:lvlJc w:val="left"/>
      <w:pPr>
        <w:ind w:left="1134" w:hanging="312"/>
      </w:pPr>
      <w:rPr>
        <w:rFonts w:ascii="Noto Sans" w:hAnsi="Noto Sans" w:hint="default"/>
      </w:rPr>
    </w:lvl>
    <w:lvl w:ilvl="2">
      <w:start w:val="1"/>
      <w:numFmt w:val="bullet"/>
      <w:lvlText w:val="▪"/>
      <w:lvlJc w:val="left"/>
      <w:pPr>
        <w:ind w:left="1701" w:hanging="312"/>
      </w:pPr>
      <w:rPr>
        <w:rFonts w:ascii="Noto Sans" w:hAnsi="Noto Sans" w:hint="default"/>
      </w:rPr>
    </w:lvl>
    <w:lvl w:ilvl="3">
      <w:start w:val="1"/>
      <w:numFmt w:val="bullet"/>
      <w:lvlText w:val="▫"/>
      <w:lvlJc w:val="left"/>
      <w:pPr>
        <w:ind w:left="2268" w:hanging="312"/>
      </w:pPr>
      <w:rPr>
        <w:rFonts w:ascii="Noto Sans" w:hAnsi="Noto Sans" w:hint="default"/>
      </w:rPr>
    </w:lvl>
    <w:lvl w:ilvl="4">
      <w:start w:val="1"/>
      <w:numFmt w:val="bullet"/>
      <w:lvlText w:val="•"/>
      <w:lvlJc w:val="left"/>
      <w:pPr>
        <w:ind w:left="2835" w:hanging="312"/>
      </w:pPr>
      <w:rPr>
        <w:rFonts w:ascii="Noto Sans" w:hAnsi="Noto Sans" w:hint="default"/>
      </w:rPr>
    </w:lvl>
    <w:lvl w:ilvl="5">
      <w:start w:val="1"/>
      <w:numFmt w:val="bullet"/>
      <w:lvlText w:val="◦"/>
      <w:lvlJc w:val="left"/>
      <w:pPr>
        <w:ind w:left="3402" w:hanging="312"/>
      </w:pPr>
      <w:rPr>
        <w:rFonts w:ascii="Noto Sans" w:hAnsi="Noto Sans" w:hint="default"/>
      </w:rPr>
    </w:lvl>
    <w:lvl w:ilvl="6">
      <w:start w:val="1"/>
      <w:numFmt w:val="bullet"/>
      <w:lvlText w:val="▪"/>
      <w:lvlJc w:val="left"/>
      <w:pPr>
        <w:ind w:left="3969" w:hanging="312"/>
      </w:pPr>
      <w:rPr>
        <w:rFonts w:ascii="Noto Sans" w:hAnsi="Noto Sans" w:hint="default"/>
      </w:rPr>
    </w:lvl>
    <w:lvl w:ilvl="7">
      <w:start w:val="1"/>
      <w:numFmt w:val="bullet"/>
      <w:lvlText w:val="▫"/>
      <w:lvlJc w:val="left"/>
      <w:pPr>
        <w:ind w:left="4536" w:hanging="312"/>
      </w:pPr>
      <w:rPr>
        <w:rFonts w:ascii="Noto Sans" w:hAnsi="Noto Sans" w:hint="default"/>
      </w:rPr>
    </w:lvl>
    <w:lvl w:ilvl="8">
      <w:start w:val="1"/>
      <w:numFmt w:val="bullet"/>
      <w:lvlText w:val="•"/>
      <w:lvlJc w:val="left"/>
      <w:pPr>
        <w:ind w:left="5103" w:hanging="312"/>
      </w:pPr>
      <w:rPr>
        <w:rFonts w:ascii="Noto Sans" w:hAnsi="Noto Sans" w:hint="default"/>
      </w:rPr>
    </w:lvl>
  </w:abstractNum>
  <w:abstractNum w:abstractNumId="44" w15:restartNumberingAfterBreak="0">
    <w:nsid w:val="4A653A05"/>
    <w:multiLevelType w:val="multilevel"/>
    <w:tmpl w:val="465217D4"/>
    <w:lvl w:ilvl="0">
      <w:start w:val="1"/>
      <w:numFmt w:val="decimal"/>
      <w:lvlText w:val="%1."/>
      <w:lvlJc w:val="left"/>
      <w:pPr>
        <w:ind w:left="567" w:hanging="340"/>
      </w:pPr>
      <w:rPr>
        <w:rFonts w:hint="default"/>
      </w:rPr>
    </w:lvl>
    <w:lvl w:ilvl="1">
      <w:start w:val="1"/>
      <w:numFmt w:val="lowerLetter"/>
      <w:lvlText w:val="%2."/>
      <w:lvlJc w:val="left"/>
      <w:pPr>
        <w:ind w:left="1134" w:hanging="340"/>
      </w:pPr>
      <w:rPr>
        <w:rFonts w:hint="default"/>
      </w:rPr>
    </w:lvl>
    <w:lvl w:ilvl="2">
      <w:start w:val="1"/>
      <w:numFmt w:val="lowerRoman"/>
      <w:lvlText w:val="%3."/>
      <w:lvlJc w:val="left"/>
      <w:pPr>
        <w:ind w:left="1701" w:hanging="340"/>
      </w:pPr>
      <w:rPr>
        <w:rFonts w:hint="default"/>
      </w:rPr>
    </w:lvl>
    <w:lvl w:ilvl="3">
      <w:start w:val="1"/>
      <w:numFmt w:val="decimal"/>
      <w:lvlText w:val="%4."/>
      <w:lvlJc w:val="left"/>
      <w:pPr>
        <w:ind w:left="2268" w:hanging="340"/>
      </w:pPr>
      <w:rPr>
        <w:rFonts w:hint="default"/>
      </w:rPr>
    </w:lvl>
    <w:lvl w:ilvl="4">
      <w:start w:val="1"/>
      <w:numFmt w:val="lowerLetter"/>
      <w:lvlText w:val="%5."/>
      <w:lvlJc w:val="left"/>
      <w:pPr>
        <w:ind w:left="2835" w:hanging="340"/>
      </w:pPr>
      <w:rPr>
        <w:rFonts w:hint="default"/>
      </w:rPr>
    </w:lvl>
    <w:lvl w:ilvl="5">
      <w:start w:val="1"/>
      <w:numFmt w:val="lowerRoman"/>
      <w:lvlText w:val="%6."/>
      <w:lvlJc w:val="left"/>
      <w:pPr>
        <w:ind w:left="3402" w:hanging="340"/>
      </w:pPr>
      <w:rPr>
        <w:rFonts w:hint="default"/>
      </w:rPr>
    </w:lvl>
    <w:lvl w:ilvl="6">
      <w:start w:val="1"/>
      <w:numFmt w:val="decimal"/>
      <w:lvlText w:val="%7."/>
      <w:lvlJc w:val="left"/>
      <w:pPr>
        <w:ind w:left="3969" w:hanging="340"/>
      </w:pPr>
      <w:rPr>
        <w:rFonts w:hint="default"/>
      </w:rPr>
    </w:lvl>
    <w:lvl w:ilvl="7">
      <w:start w:val="1"/>
      <w:numFmt w:val="lowerLetter"/>
      <w:lvlText w:val="%8."/>
      <w:lvlJc w:val="left"/>
      <w:pPr>
        <w:ind w:left="4536" w:hanging="340"/>
      </w:pPr>
      <w:rPr>
        <w:rFonts w:hint="default"/>
      </w:rPr>
    </w:lvl>
    <w:lvl w:ilvl="8">
      <w:start w:val="1"/>
      <w:numFmt w:val="lowerRoman"/>
      <w:lvlText w:val="%9."/>
      <w:lvlJc w:val="left"/>
      <w:pPr>
        <w:ind w:left="5103" w:hanging="340"/>
      </w:pPr>
      <w:rPr>
        <w:rFonts w:hint="default"/>
      </w:rPr>
    </w:lvl>
  </w:abstractNum>
  <w:abstractNum w:abstractNumId="45" w15:restartNumberingAfterBreak="0">
    <w:nsid w:val="502F6218"/>
    <w:multiLevelType w:val="multilevel"/>
    <w:tmpl w:val="CF14D2EC"/>
    <w:numStyleLink w:val="UnorderedList"/>
  </w:abstractNum>
  <w:abstractNum w:abstractNumId="46" w15:restartNumberingAfterBreak="0">
    <w:nsid w:val="5C1855BF"/>
    <w:multiLevelType w:val="multilevel"/>
    <w:tmpl w:val="99A26F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613A3F18"/>
    <w:multiLevelType w:val="multilevel"/>
    <w:tmpl w:val="C2BAE3D2"/>
    <w:lvl w:ilvl="0">
      <w:start w:val="1"/>
      <w:numFmt w:val="bullet"/>
      <w:lvlText w:val=""/>
      <w:lvlJc w:val="left"/>
      <w:pPr>
        <w:ind w:left="567" w:hanging="340"/>
      </w:pPr>
      <w:rPr>
        <w:rFonts w:ascii="Symbol" w:hAnsi="Symbol" w:hint="default"/>
      </w:rPr>
    </w:lvl>
    <w:lvl w:ilvl="1">
      <w:start w:val="1"/>
      <w:numFmt w:val="bullet"/>
      <w:lvlText w:val="o"/>
      <w:lvlJc w:val="left"/>
      <w:pPr>
        <w:ind w:left="1134" w:hanging="340"/>
      </w:pPr>
      <w:rPr>
        <w:rFonts w:ascii="Courier New" w:hAnsi="Courier New" w:cs="Courier New" w:hint="default"/>
      </w:rPr>
    </w:lvl>
    <w:lvl w:ilvl="2">
      <w:start w:val="1"/>
      <w:numFmt w:val="bullet"/>
      <w:lvlText w:val=""/>
      <w:lvlJc w:val="left"/>
      <w:pPr>
        <w:ind w:left="1701" w:hanging="340"/>
      </w:pPr>
      <w:rPr>
        <w:rFonts w:ascii="Wingdings" w:hAnsi="Wingdings" w:hint="default"/>
      </w:rPr>
    </w:lvl>
    <w:lvl w:ilvl="3">
      <w:start w:val="1"/>
      <w:numFmt w:val="bullet"/>
      <w:lvlText w:val=""/>
      <w:lvlJc w:val="left"/>
      <w:pPr>
        <w:ind w:left="2268" w:hanging="340"/>
      </w:pPr>
      <w:rPr>
        <w:rFonts w:ascii="Symbol" w:hAnsi="Symbol" w:hint="default"/>
      </w:rPr>
    </w:lvl>
    <w:lvl w:ilvl="4">
      <w:start w:val="1"/>
      <w:numFmt w:val="bullet"/>
      <w:lvlText w:val="o"/>
      <w:lvlJc w:val="left"/>
      <w:pPr>
        <w:ind w:left="2835" w:hanging="340"/>
      </w:pPr>
      <w:rPr>
        <w:rFonts w:ascii="Courier New" w:hAnsi="Courier New" w:cs="Courier New" w:hint="default"/>
      </w:rPr>
    </w:lvl>
    <w:lvl w:ilvl="5">
      <w:start w:val="1"/>
      <w:numFmt w:val="bullet"/>
      <w:lvlText w:val=""/>
      <w:lvlJc w:val="left"/>
      <w:pPr>
        <w:ind w:left="3402" w:hanging="340"/>
      </w:pPr>
      <w:rPr>
        <w:rFonts w:ascii="Wingdings" w:hAnsi="Wingdings" w:hint="default"/>
      </w:rPr>
    </w:lvl>
    <w:lvl w:ilvl="6">
      <w:start w:val="1"/>
      <w:numFmt w:val="bullet"/>
      <w:lvlText w:val=""/>
      <w:lvlJc w:val="left"/>
      <w:pPr>
        <w:ind w:left="3969" w:hanging="340"/>
      </w:pPr>
      <w:rPr>
        <w:rFonts w:ascii="Symbol" w:hAnsi="Symbol" w:hint="default"/>
      </w:rPr>
    </w:lvl>
    <w:lvl w:ilvl="7">
      <w:start w:val="1"/>
      <w:numFmt w:val="bullet"/>
      <w:lvlText w:val="o"/>
      <w:lvlJc w:val="left"/>
      <w:pPr>
        <w:ind w:left="4536" w:hanging="340"/>
      </w:pPr>
      <w:rPr>
        <w:rFonts w:ascii="Courier New" w:hAnsi="Courier New" w:cs="Courier New" w:hint="default"/>
      </w:rPr>
    </w:lvl>
    <w:lvl w:ilvl="8">
      <w:start w:val="1"/>
      <w:numFmt w:val="bullet"/>
      <w:lvlText w:val=""/>
      <w:lvlJc w:val="left"/>
      <w:pPr>
        <w:ind w:left="5103" w:hanging="340"/>
      </w:pPr>
      <w:rPr>
        <w:rFonts w:ascii="Wingdings" w:hAnsi="Wingdings" w:hint="default"/>
      </w:rPr>
    </w:lvl>
  </w:abstractNum>
  <w:abstractNum w:abstractNumId="48" w15:restartNumberingAfterBreak="0">
    <w:nsid w:val="65EF5EF1"/>
    <w:multiLevelType w:val="multilevel"/>
    <w:tmpl w:val="8E920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664D757A"/>
    <w:multiLevelType w:val="hybridMultilevel"/>
    <w:tmpl w:val="94A87580"/>
    <w:lvl w:ilvl="0" w:tplc="7EF87032">
      <w:start w:val="1"/>
      <w:numFmt w:val="bullet"/>
      <w:lvlText w:val=""/>
      <w:lvlJc w:val="left"/>
      <w:pPr>
        <w:ind w:left="5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71FC189D"/>
    <w:multiLevelType w:val="multilevel"/>
    <w:tmpl w:val="E2684BB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15:restartNumberingAfterBreak="0">
    <w:nsid w:val="75337862"/>
    <w:multiLevelType w:val="multilevel"/>
    <w:tmpl w:val="86829178"/>
    <w:numStyleLink w:val="OrderedList"/>
  </w:abstractNum>
  <w:abstractNum w:abstractNumId="52" w15:restartNumberingAfterBreak="0">
    <w:nsid w:val="760168B7"/>
    <w:multiLevelType w:val="multilevel"/>
    <w:tmpl w:val="1AFA6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B953C3"/>
    <w:multiLevelType w:val="hybridMultilevel"/>
    <w:tmpl w:val="3EF837A2"/>
    <w:lvl w:ilvl="0" w:tplc="5F2CA22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80F1FBE"/>
    <w:multiLevelType w:val="multilevel"/>
    <w:tmpl w:val="C96A62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7BFD746F"/>
    <w:multiLevelType w:val="multilevel"/>
    <w:tmpl w:val="DF1E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60012672">
    <w:abstractNumId w:val="9"/>
  </w:num>
  <w:num w:numId="2" w16cid:durableId="1807430742">
    <w:abstractNumId w:val="7"/>
  </w:num>
  <w:num w:numId="3" w16cid:durableId="952129819">
    <w:abstractNumId w:val="6"/>
  </w:num>
  <w:num w:numId="4" w16cid:durableId="1567062258">
    <w:abstractNumId w:val="5"/>
  </w:num>
  <w:num w:numId="5" w16cid:durableId="628165751">
    <w:abstractNumId w:val="4"/>
  </w:num>
  <w:num w:numId="6" w16cid:durableId="127205612">
    <w:abstractNumId w:val="8"/>
  </w:num>
  <w:num w:numId="7" w16cid:durableId="1720396538">
    <w:abstractNumId w:val="3"/>
  </w:num>
  <w:num w:numId="8" w16cid:durableId="111675516">
    <w:abstractNumId w:val="2"/>
  </w:num>
  <w:num w:numId="9" w16cid:durableId="680350625">
    <w:abstractNumId w:val="1"/>
  </w:num>
  <w:num w:numId="10" w16cid:durableId="1612395721">
    <w:abstractNumId w:val="0"/>
  </w:num>
  <w:num w:numId="11" w16cid:durableId="1432167919">
    <w:abstractNumId w:val="49"/>
  </w:num>
  <w:num w:numId="12" w16cid:durableId="1331719821">
    <w:abstractNumId w:val="47"/>
  </w:num>
  <w:num w:numId="13" w16cid:durableId="861482384">
    <w:abstractNumId w:val="18"/>
  </w:num>
  <w:num w:numId="14" w16cid:durableId="582106439">
    <w:abstractNumId w:val="25"/>
  </w:num>
  <w:num w:numId="15" w16cid:durableId="1865901707">
    <w:abstractNumId w:val="53"/>
  </w:num>
  <w:num w:numId="16" w16cid:durableId="556206249">
    <w:abstractNumId w:val="20"/>
  </w:num>
  <w:num w:numId="17" w16cid:durableId="1095858497">
    <w:abstractNumId w:val="27"/>
  </w:num>
  <w:num w:numId="18" w16cid:durableId="1365207615">
    <w:abstractNumId w:val="44"/>
  </w:num>
  <w:num w:numId="19" w16cid:durableId="5523522">
    <w:abstractNumId w:val="26"/>
  </w:num>
  <w:num w:numId="20" w16cid:durableId="74936745">
    <w:abstractNumId w:val="36"/>
  </w:num>
  <w:num w:numId="21" w16cid:durableId="2135323401">
    <w:abstractNumId w:val="23"/>
  </w:num>
  <w:num w:numId="22" w16cid:durableId="853154570">
    <w:abstractNumId w:val="42"/>
  </w:num>
  <w:num w:numId="23" w16cid:durableId="1255749161">
    <w:abstractNumId w:val="13"/>
  </w:num>
  <w:num w:numId="24" w16cid:durableId="1991522804">
    <w:abstractNumId w:val="43"/>
  </w:num>
  <w:num w:numId="25" w16cid:durableId="336814518">
    <w:abstractNumId w:val="40"/>
  </w:num>
  <w:num w:numId="26" w16cid:durableId="1258832564">
    <w:abstractNumId w:val="51"/>
  </w:num>
  <w:num w:numId="27" w16cid:durableId="1795757561">
    <w:abstractNumId w:val="39"/>
  </w:num>
  <w:num w:numId="28" w16cid:durableId="1083455516">
    <w:abstractNumId w:val="45"/>
  </w:num>
  <w:num w:numId="29" w16cid:durableId="1833836052">
    <w:abstractNumId w:val="35"/>
  </w:num>
  <w:num w:numId="30" w16cid:durableId="1973362261">
    <w:abstractNumId w:val="38"/>
  </w:num>
  <w:num w:numId="31" w16cid:durableId="1164590978">
    <w:abstractNumId w:val="38"/>
  </w:num>
  <w:num w:numId="32" w16cid:durableId="1232275561">
    <w:abstractNumId w:val="38"/>
  </w:num>
  <w:num w:numId="33" w16cid:durableId="1476289710">
    <w:abstractNumId w:val="11"/>
  </w:num>
  <w:num w:numId="34" w16cid:durableId="1086881597">
    <w:abstractNumId w:val="14"/>
  </w:num>
  <w:num w:numId="35" w16cid:durableId="83765988">
    <w:abstractNumId w:val="21"/>
  </w:num>
  <w:num w:numId="36" w16cid:durableId="930092454">
    <w:abstractNumId w:val="29"/>
  </w:num>
  <w:num w:numId="37" w16cid:durableId="2082091494">
    <w:abstractNumId w:val="55"/>
  </w:num>
  <w:num w:numId="38" w16cid:durableId="188106140">
    <w:abstractNumId w:val="33"/>
  </w:num>
  <w:num w:numId="39" w16cid:durableId="424307685">
    <w:abstractNumId w:val="48"/>
  </w:num>
  <w:num w:numId="40" w16cid:durableId="755515199">
    <w:abstractNumId w:val="31"/>
  </w:num>
  <w:num w:numId="41" w16cid:durableId="1372538445">
    <w:abstractNumId w:val="32"/>
  </w:num>
  <w:num w:numId="42" w16cid:durableId="141584957">
    <w:abstractNumId w:val="50"/>
  </w:num>
  <w:num w:numId="43" w16cid:durableId="355161668">
    <w:abstractNumId w:val="54"/>
  </w:num>
  <w:num w:numId="44" w16cid:durableId="1685476416">
    <w:abstractNumId w:val="19"/>
  </w:num>
  <w:num w:numId="45" w16cid:durableId="805779541">
    <w:abstractNumId w:val="12"/>
  </w:num>
  <w:num w:numId="46" w16cid:durableId="496389445">
    <w:abstractNumId w:val="16"/>
  </w:num>
  <w:num w:numId="47" w16cid:durableId="1786658851">
    <w:abstractNumId w:val="17"/>
  </w:num>
  <w:num w:numId="48" w16cid:durableId="897016814">
    <w:abstractNumId w:val="46"/>
  </w:num>
  <w:num w:numId="49" w16cid:durableId="1183402658">
    <w:abstractNumId w:val="28"/>
  </w:num>
  <w:num w:numId="50" w16cid:durableId="1602907311">
    <w:abstractNumId w:val="15"/>
  </w:num>
  <w:num w:numId="51" w16cid:durableId="697513463">
    <w:abstractNumId w:val="30"/>
  </w:num>
  <w:num w:numId="52" w16cid:durableId="1591770747">
    <w:abstractNumId w:val="24"/>
  </w:num>
  <w:num w:numId="53" w16cid:durableId="238174901">
    <w:abstractNumId w:val="52"/>
  </w:num>
  <w:num w:numId="54" w16cid:durableId="186917277">
    <w:abstractNumId w:val="41"/>
  </w:num>
  <w:num w:numId="55" w16cid:durableId="1643651983">
    <w:abstractNumId w:val="22"/>
  </w:num>
  <w:num w:numId="56" w16cid:durableId="1943879514">
    <w:abstractNumId w:val="34"/>
  </w:num>
  <w:num w:numId="57" w16cid:durableId="690495323">
    <w:abstractNumId w:val="37"/>
  </w:num>
  <w:num w:numId="58" w16cid:durableId="170952655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8DD"/>
    <w:rsid w:val="00041907"/>
    <w:rsid w:val="000631F4"/>
    <w:rsid w:val="000A4D29"/>
    <w:rsid w:val="000A6849"/>
    <w:rsid w:val="000D01A1"/>
    <w:rsid w:val="000E1194"/>
    <w:rsid w:val="00112F39"/>
    <w:rsid w:val="00152CC4"/>
    <w:rsid w:val="00155435"/>
    <w:rsid w:val="001574DB"/>
    <w:rsid w:val="00175D6D"/>
    <w:rsid w:val="001B2B6A"/>
    <w:rsid w:val="001D78E5"/>
    <w:rsid w:val="00210F83"/>
    <w:rsid w:val="002112FD"/>
    <w:rsid w:val="00227A8E"/>
    <w:rsid w:val="00227F89"/>
    <w:rsid w:val="002328DD"/>
    <w:rsid w:val="002340F0"/>
    <w:rsid w:val="0024649C"/>
    <w:rsid w:val="00263602"/>
    <w:rsid w:val="002A000E"/>
    <w:rsid w:val="002C0E68"/>
    <w:rsid w:val="00311C5E"/>
    <w:rsid w:val="00341FA0"/>
    <w:rsid w:val="00367645"/>
    <w:rsid w:val="003F0494"/>
    <w:rsid w:val="003F4B7C"/>
    <w:rsid w:val="0046097D"/>
    <w:rsid w:val="00470FDA"/>
    <w:rsid w:val="0049040C"/>
    <w:rsid w:val="004C120F"/>
    <w:rsid w:val="004C76FA"/>
    <w:rsid w:val="004D2156"/>
    <w:rsid w:val="00511E46"/>
    <w:rsid w:val="005424C3"/>
    <w:rsid w:val="00581DE3"/>
    <w:rsid w:val="005B7B99"/>
    <w:rsid w:val="005D3342"/>
    <w:rsid w:val="005F2597"/>
    <w:rsid w:val="005F6BCF"/>
    <w:rsid w:val="006030BC"/>
    <w:rsid w:val="00606825"/>
    <w:rsid w:val="0064600C"/>
    <w:rsid w:val="006C5766"/>
    <w:rsid w:val="006C7FF8"/>
    <w:rsid w:val="006D577B"/>
    <w:rsid w:val="0071751D"/>
    <w:rsid w:val="00731971"/>
    <w:rsid w:val="0074030F"/>
    <w:rsid w:val="007A7570"/>
    <w:rsid w:val="007E32E7"/>
    <w:rsid w:val="00813205"/>
    <w:rsid w:val="00844A15"/>
    <w:rsid w:val="0088609C"/>
    <w:rsid w:val="00895A5E"/>
    <w:rsid w:val="008A16A1"/>
    <w:rsid w:val="008A5E35"/>
    <w:rsid w:val="008B62F6"/>
    <w:rsid w:val="008C052E"/>
    <w:rsid w:val="008C0686"/>
    <w:rsid w:val="008C621A"/>
    <w:rsid w:val="008C79BC"/>
    <w:rsid w:val="008D52FF"/>
    <w:rsid w:val="00903873"/>
    <w:rsid w:val="00916121"/>
    <w:rsid w:val="009357FA"/>
    <w:rsid w:val="00965D70"/>
    <w:rsid w:val="009B0057"/>
    <w:rsid w:val="009D3C57"/>
    <w:rsid w:val="009E4B83"/>
    <w:rsid w:val="009E6E9C"/>
    <w:rsid w:val="009F2C07"/>
    <w:rsid w:val="00A60CD4"/>
    <w:rsid w:val="00A84359"/>
    <w:rsid w:val="00AF0463"/>
    <w:rsid w:val="00AF402E"/>
    <w:rsid w:val="00B155B7"/>
    <w:rsid w:val="00B71D8D"/>
    <w:rsid w:val="00B80A0A"/>
    <w:rsid w:val="00BB1312"/>
    <w:rsid w:val="00BB5213"/>
    <w:rsid w:val="00BC2368"/>
    <w:rsid w:val="00C035FB"/>
    <w:rsid w:val="00C114EC"/>
    <w:rsid w:val="00C16902"/>
    <w:rsid w:val="00C2535D"/>
    <w:rsid w:val="00C314C5"/>
    <w:rsid w:val="00C743FD"/>
    <w:rsid w:val="00C96A49"/>
    <w:rsid w:val="00CC53EA"/>
    <w:rsid w:val="00CC7BFE"/>
    <w:rsid w:val="00CE4209"/>
    <w:rsid w:val="00D1353C"/>
    <w:rsid w:val="00D154C7"/>
    <w:rsid w:val="00D2459A"/>
    <w:rsid w:val="00D679DB"/>
    <w:rsid w:val="00D7094D"/>
    <w:rsid w:val="00D76561"/>
    <w:rsid w:val="00DB631D"/>
    <w:rsid w:val="00DC7619"/>
    <w:rsid w:val="00DD49DD"/>
    <w:rsid w:val="00E364C2"/>
    <w:rsid w:val="00E43B54"/>
    <w:rsid w:val="00EB55B9"/>
    <w:rsid w:val="00EC4BAE"/>
    <w:rsid w:val="00EF13D5"/>
    <w:rsid w:val="00F0196F"/>
    <w:rsid w:val="00F04F4E"/>
    <w:rsid w:val="00F939EF"/>
    <w:rsid w:val="00F967BF"/>
    <w:rsid w:val="00FA2530"/>
    <w:rsid w:val="00FA7C33"/>
    <w:rsid w:val="00FC52BA"/>
    <w:rsid w:val="00FD3A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4C13F"/>
  <w15:chartTrackingRefBased/>
  <w15:docId w15:val="{8EA3140A-4BB9-984C-B107-97A04D905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156"/>
    <w:pPr>
      <w:spacing w:line="312" w:lineRule="auto"/>
    </w:pPr>
    <w:rPr>
      <w:kern w:val="20"/>
      <w:sz w:val="20"/>
      <w14:ligatures w14:val="standardContextual"/>
      <w14:numForm w14:val="lining"/>
      <w14:numSpacing w14:val="tabular"/>
      <w14:cntxtAlts/>
    </w:rPr>
  </w:style>
  <w:style w:type="paragraph" w:styleId="Heading1">
    <w:name w:val="heading 1"/>
    <w:basedOn w:val="Normal"/>
    <w:next w:val="Normal"/>
    <w:link w:val="Heading1Char"/>
    <w:uiPriority w:val="9"/>
    <w:qFormat/>
    <w:rsid w:val="008D52FF"/>
    <w:pPr>
      <w:keepNext/>
      <w:keepLines/>
      <w:suppressAutoHyphens/>
      <w:spacing w:before="320" w:line="240" w:lineRule="auto"/>
      <w:outlineLvl w:val="0"/>
    </w:pPr>
    <w:rPr>
      <w:rFonts w:asciiTheme="majorHAnsi" w:hAnsiTheme="majorHAnsi"/>
      <w:b/>
      <w:color w:val="AD003D" w:themeColor="accent1"/>
      <w:sz w:val="48"/>
    </w:rPr>
  </w:style>
  <w:style w:type="paragraph" w:styleId="Heading2">
    <w:name w:val="heading 2"/>
    <w:basedOn w:val="Heading1"/>
    <w:next w:val="Normal"/>
    <w:link w:val="Heading2Char"/>
    <w:uiPriority w:val="9"/>
    <w:qFormat/>
    <w:rsid w:val="000A6849"/>
    <w:pPr>
      <w:outlineLvl w:val="1"/>
    </w:pPr>
    <w:rPr>
      <w:sz w:val="32"/>
    </w:rPr>
  </w:style>
  <w:style w:type="paragraph" w:styleId="Heading3">
    <w:name w:val="heading 3"/>
    <w:basedOn w:val="Heading2"/>
    <w:next w:val="Normal"/>
    <w:link w:val="Heading3Char"/>
    <w:uiPriority w:val="9"/>
    <w:qFormat/>
    <w:rsid w:val="00263602"/>
    <w:pPr>
      <w:outlineLvl w:val="2"/>
    </w:pPr>
    <w:rPr>
      <w:b w:val="0"/>
      <w:color w:val="000000" w:themeColor="text1"/>
      <w:sz w:val="24"/>
    </w:rPr>
  </w:style>
  <w:style w:type="paragraph" w:styleId="Heading4">
    <w:name w:val="heading 4"/>
    <w:basedOn w:val="Heading3"/>
    <w:next w:val="Normal"/>
    <w:link w:val="Heading4Char"/>
    <w:uiPriority w:val="9"/>
    <w:unhideWhenUsed/>
    <w:qFormat/>
    <w:rsid w:val="00D154C7"/>
    <w:pPr>
      <w:outlineLvl w:val="3"/>
    </w:pPr>
    <w:rPr>
      <w:color w:val="auto"/>
      <w:sz w:val="22"/>
    </w:rPr>
  </w:style>
  <w:style w:type="paragraph" w:styleId="Heading5">
    <w:name w:val="heading 5"/>
    <w:basedOn w:val="Heading4"/>
    <w:next w:val="Normal"/>
    <w:link w:val="Heading5Char"/>
    <w:uiPriority w:val="9"/>
    <w:unhideWhenUsed/>
    <w:qFormat/>
    <w:rsid w:val="00844A15"/>
    <w:pPr>
      <w:outlineLvl w:val="4"/>
    </w:pPr>
    <w:rPr>
      <w:rFonts w:asciiTheme="minorHAnsi" w:hAnsiTheme="minorHAnsi"/>
      <w:smallCaps/>
    </w:rPr>
  </w:style>
  <w:style w:type="paragraph" w:styleId="Heading6">
    <w:name w:val="heading 6"/>
    <w:basedOn w:val="Heading5"/>
    <w:next w:val="Normal"/>
    <w:link w:val="Heading6Char"/>
    <w:uiPriority w:val="9"/>
    <w:semiHidden/>
    <w:rsid w:val="000A6849"/>
    <w:pPr>
      <w:outlineLvl w:val="5"/>
    </w:pPr>
  </w:style>
  <w:style w:type="paragraph" w:styleId="Heading7">
    <w:name w:val="heading 7"/>
    <w:basedOn w:val="Heading6"/>
    <w:next w:val="Normal"/>
    <w:link w:val="Heading7Char"/>
    <w:uiPriority w:val="9"/>
    <w:semiHidden/>
    <w:rsid w:val="00F04F4E"/>
    <w:pPr>
      <w:outlineLvl w:val="6"/>
    </w:pPr>
  </w:style>
  <w:style w:type="paragraph" w:styleId="Heading8">
    <w:name w:val="heading 8"/>
    <w:basedOn w:val="Heading7"/>
    <w:next w:val="Normal"/>
    <w:link w:val="Heading8Char"/>
    <w:uiPriority w:val="9"/>
    <w:semiHidden/>
    <w:rsid w:val="00F04F4E"/>
    <w:pPr>
      <w:outlineLvl w:val="7"/>
    </w:pPr>
  </w:style>
  <w:style w:type="paragraph" w:styleId="Heading9">
    <w:name w:val="heading 9"/>
    <w:basedOn w:val="Heading8"/>
    <w:next w:val="Normal"/>
    <w:link w:val="Heading9Char"/>
    <w:uiPriority w:val="9"/>
    <w:semiHidden/>
    <w:rsid w:val="00F04F4E"/>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BodyText"/>
    <w:next w:val="Normal"/>
    <w:link w:val="TitleChar"/>
    <w:uiPriority w:val="10"/>
    <w:rsid w:val="00263602"/>
    <w:pPr>
      <w:pageBreakBefore/>
      <w:spacing w:before="0" w:after="600"/>
    </w:pPr>
    <w:rPr>
      <w:b w:val="0"/>
      <w:color w:val="000000" w:themeColor="text1"/>
      <w:sz w:val="72"/>
    </w:rPr>
  </w:style>
  <w:style w:type="character" w:customStyle="1" w:styleId="TitleChar">
    <w:name w:val="Title Char"/>
    <w:basedOn w:val="DefaultParagraphFont"/>
    <w:link w:val="Title"/>
    <w:uiPriority w:val="10"/>
    <w:rsid w:val="00263602"/>
    <w:rPr>
      <w:rFonts w:asciiTheme="majorHAnsi" w:hAnsiTheme="majorHAnsi"/>
      <w:color w:val="000000" w:themeColor="text1"/>
      <w:kern w:val="20"/>
      <w:sz w:val="72"/>
      <w14:ligatures w14:val="standardContextual"/>
      <w14:numForm w14:val="lining"/>
      <w14:numSpacing w14:val="tabular"/>
      <w14:cntxtAlts/>
    </w:rPr>
  </w:style>
  <w:style w:type="character" w:customStyle="1" w:styleId="Heading1Char">
    <w:name w:val="Heading 1 Char"/>
    <w:basedOn w:val="DefaultParagraphFont"/>
    <w:link w:val="Heading1"/>
    <w:uiPriority w:val="9"/>
    <w:rsid w:val="008D52FF"/>
    <w:rPr>
      <w:rFonts w:asciiTheme="majorHAnsi" w:hAnsiTheme="majorHAnsi"/>
      <w:b/>
      <w:color w:val="AD003D" w:themeColor="accent1"/>
      <w:kern w:val="20"/>
      <w:sz w:val="48"/>
      <w14:ligatures w14:val="standardContextual"/>
      <w14:numForm w14:val="lining"/>
      <w14:numSpacing w14:val="tabular"/>
      <w14:cntxtAlts/>
    </w:rPr>
  </w:style>
  <w:style w:type="character" w:customStyle="1" w:styleId="Heading2Char">
    <w:name w:val="Heading 2 Char"/>
    <w:basedOn w:val="DefaultParagraphFont"/>
    <w:link w:val="Heading2"/>
    <w:uiPriority w:val="9"/>
    <w:rsid w:val="001D78E5"/>
    <w:rPr>
      <w:rFonts w:asciiTheme="majorHAnsi" w:hAnsiTheme="majorHAnsi"/>
      <w:color w:val="AD003D" w:themeColor="accent1"/>
      <w:sz w:val="32"/>
    </w:rPr>
  </w:style>
  <w:style w:type="character" w:customStyle="1" w:styleId="Heading3Char">
    <w:name w:val="Heading 3 Char"/>
    <w:basedOn w:val="DefaultParagraphFont"/>
    <w:link w:val="Heading3"/>
    <w:uiPriority w:val="9"/>
    <w:rsid w:val="00263602"/>
    <w:rPr>
      <w:rFonts w:asciiTheme="majorHAnsi" w:hAnsiTheme="majorHAnsi"/>
      <w:color w:val="000000" w:themeColor="text1"/>
      <w:kern w:val="20"/>
      <w:sz w:val="24"/>
      <w14:ligatures w14:val="standardContextual"/>
      <w14:numForm w14:val="lining"/>
      <w14:numSpacing w14:val="tabular"/>
      <w14:cntxtAlts/>
    </w:rPr>
  </w:style>
  <w:style w:type="character" w:customStyle="1" w:styleId="Heading4Char">
    <w:name w:val="Heading 4 Char"/>
    <w:basedOn w:val="DefaultParagraphFont"/>
    <w:link w:val="Heading4"/>
    <w:uiPriority w:val="9"/>
    <w:rsid w:val="00D154C7"/>
    <w:rPr>
      <w:rFonts w:asciiTheme="majorHAnsi" w:hAnsiTheme="majorHAnsi"/>
      <w:kern w:val="20"/>
      <w14:ligatures w14:val="standardContextual"/>
      <w14:numForm w14:val="lining"/>
      <w14:numSpacing w14:val="tabular"/>
      <w14:cntxtAlts/>
    </w:rPr>
  </w:style>
  <w:style w:type="paragraph" w:styleId="Subtitle">
    <w:name w:val="Subtitle"/>
    <w:basedOn w:val="Heading2"/>
    <w:next w:val="Normal"/>
    <w:link w:val="SubtitleChar"/>
    <w:uiPriority w:val="11"/>
    <w:rsid w:val="00263602"/>
    <w:pPr>
      <w:spacing w:after="600"/>
      <w:outlineLvl w:val="9"/>
    </w:pPr>
    <w:rPr>
      <w:b w:val="0"/>
      <w:color w:val="000000" w:themeColor="text1"/>
      <w:sz w:val="24"/>
    </w:rPr>
  </w:style>
  <w:style w:type="character" w:customStyle="1" w:styleId="SubtitleChar">
    <w:name w:val="Subtitle Char"/>
    <w:basedOn w:val="DefaultParagraphFont"/>
    <w:link w:val="Subtitle"/>
    <w:uiPriority w:val="11"/>
    <w:rsid w:val="00263602"/>
    <w:rPr>
      <w:rFonts w:asciiTheme="majorHAnsi" w:hAnsiTheme="majorHAnsi"/>
      <w:color w:val="000000" w:themeColor="text1"/>
      <w:kern w:val="20"/>
      <w:sz w:val="24"/>
      <w14:ligatures w14:val="standardContextual"/>
      <w14:numForm w14:val="lining"/>
      <w14:numSpacing w14:val="tabular"/>
      <w14:cntxtAlts/>
    </w:rPr>
  </w:style>
  <w:style w:type="paragraph" w:styleId="ListParagraph">
    <w:name w:val="List Paragraph"/>
    <w:basedOn w:val="BodyTextIndent"/>
    <w:uiPriority w:val="34"/>
    <w:semiHidden/>
    <w:rsid w:val="00227F89"/>
    <w:pPr>
      <w:contextualSpacing/>
    </w:pPr>
  </w:style>
  <w:style w:type="paragraph" w:styleId="NoSpacing">
    <w:name w:val="No Spacing"/>
    <w:basedOn w:val="Normal"/>
    <w:uiPriority w:val="1"/>
    <w:rsid w:val="00CC7BFE"/>
    <w:pPr>
      <w:spacing w:after="0"/>
      <w:contextualSpacing/>
    </w:pPr>
  </w:style>
  <w:style w:type="paragraph" w:styleId="Quote">
    <w:name w:val="Quote"/>
    <w:basedOn w:val="Normal"/>
    <w:next w:val="Normal"/>
    <w:link w:val="QuoteChar"/>
    <w:uiPriority w:val="29"/>
    <w:rsid w:val="000A6849"/>
    <w:pPr>
      <w:spacing w:before="160"/>
      <w:ind w:left="567" w:right="567"/>
    </w:pPr>
  </w:style>
  <w:style w:type="character" w:customStyle="1" w:styleId="QuoteChar">
    <w:name w:val="Quote Char"/>
    <w:basedOn w:val="DefaultParagraphFont"/>
    <w:link w:val="Quote"/>
    <w:uiPriority w:val="29"/>
    <w:rsid w:val="001D78E5"/>
    <w:rPr>
      <w:sz w:val="20"/>
    </w:rPr>
  </w:style>
  <w:style w:type="paragraph" w:styleId="IntenseQuote">
    <w:name w:val="Intense Quote"/>
    <w:basedOn w:val="Normal"/>
    <w:next w:val="Normal"/>
    <w:link w:val="IntenseQuoteChar"/>
    <w:uiPriority w:val="30"/>
    <w:rsid w:val="004D2156"/>
    <w:rPr>
      <w:sz w:val="28"/>
      <w:szCs w:val="30"/>
    </w:rPr>
  </w:style>
  <w:style w:type="character" w:customStyle="1" w:styleId="IntenseQuoteChar">
    <w:name w:val="Intense Quote Char"/>
    <w:basedOn w:val="DefaultParagraphFont"/>
    <w:link w:val="IntenseQuote"/>
    <w:uiPriority w:val="30"/>
    <w:rsid w:val="004D2156"/>
    <w:rPr>
      <w:kern w:val="20"/>
      <w:sz w:val="28"/>
      <w:szCs w:val="30"/>
      <w14:ligatures w14:val="standardContextual"/>
      <w14:numForm w14:val="lining"/>
      <w14:numSpacing w14:val="tabular"/>
      <w14:cntxtAlts/>
    </w:rPr>
  </w:style>
  <w:style w:type="character" w:customStyle="1" w:styleId="Heading5Char">
    <w:name w:val="Heading 5 Char"/>
    <w:basedOn w:val="DefaultParagraphFont"/>
    <w:link w:val="Heading5"/>
    <w:uiPriority w:val="9"/>
    <w:rsid w:val="001D78E5"/>
    <w:rPr>
      <w:smallCaps/>
      <w:sz w:val="20"/>
    </w:rPr>
  </w:style>
  <w:style w:type="character" w:customStyle="1" w:styleId="Heading6Char">
    <w:name w:val="Heading 6 Char"/>
    <w:basedOn w:val="DefaultParagraphFont"/>
    <w:link w:val="Heading6"/>
    <w:uiPriority w:val="9"/>
    <w:semiHidden/>
    <w:rsid w:val="00EF13D5"/>
    <w:rPr>
      <w:smallCaps/>
      <w:kern w:val="20"/>
      <w14:ligatures w14:val="standardContextual"/>
      <w14:numForm w14:val="lining"/>
      <w14:numSpacing w14:val="tabular"/>
      <w14:cntxtAlts/>
    </w:rPr>
  </w:style>
  <w:style w:type="character" w:customStyle="1" w:styleId="Heading7Char">
    <w:name w:val="Heading 7 Char"/>
    <w:basedOn w:val="DefaultParagraphFont"/>
    <w:link w:val="Heading7"/>
    <w:uiPriority w:val="9"/>
    <w:semiHidden/>
    <w:rsid w:val="00EF13D5"/>
    <w:rPr>
      <w:smallCaps/>
      <w:kern w:val="20"/>
      <w14:ligatures w14:val="standardContextual"/>
      <w14:numForm w14:val="lining"/>
      <w14:numSpacing w14:val="tabular"/>
      <w14:cntxtAlts/>
    </w:rPr>
  </w:style>
  <w:style w:type="character" w:styleId="IntenseEmphasis">
    <w:name w:val="Intense Emphasis"/>
    <w:uiPriority w:val="21"/>
    <w:rsid w:val="00EF13D5"/>
    <w:rPr>
      <w:b/>
      <w:bCs/>
      <w:color w:val="AD003D" w:themeColor="accent1"/>
    </w:rPr>
  </w:style>
  <w:style w:type="character" w:styleId="SubtleEmphasis">
    <w:name w:val="Subtle Emphasis"/>
    <w:uiPriority w:val="19"/>
    <w:rsid w:val="00EF13D5"/>
    <w:rPr>
      <w:color w:val="8F7C5D" w:themeColor="background2" w:themeShade="80"/>
    </w:rPr>
  </w:style>
  <w:style w:type="character" w:customStyle="1" w:styleId="Heading8Char">
    <w:name w:val="Heading 8 Char"/>
    <w:basedOn w:val="DefaultParagraphFont"/>
    <w:link w:val="Heading8"/>
    <w:uiPriority w:val="9"/>
    <w:semiHidden/>
    <w:rsid w:val="00EF13D5"/>
    <w:rPr>
      <w:smallCaps/>
      <w:kern w:val="20"/>
      <w14:ligatures w14:val="standardContextual"/>
      <w14:numForm w14:val="lining"/>
      <w14:numSpacing w14:val="tabular"/>
      <w14:cntxtAlts/>
    </w:rPr>
  </w:style>
  <w:style w:type="character" w:customStyle="1" w:styleId="Heading9Char">
    <w:name w:val="Heading 9 Char"/>
    <w:basedOn w:val="DefaultParagraphFont"/>
    <w:link w:val="Heading9"/>
    <w:uiPriority w:val="9"/>
    <w:semiHidden/>
    <w:rsid w:val="00EF13D5"/>
    <w:rPr>
      <w:smallCaps/>
      <w:kern w:val="20"/>
      <w14:ligatures w14:val="standardContextual"/>
      <w14:numForm w14:val="lining"/>
      <w14:numSpacing w14:val="tabular"/>
      <w14:cntxtAlts/>
    </w:rPr>
  </w:style>
  <w:style w:type="table" w:styleId="TableGrid">
    <w:name w:val="Table Grid"/>
    <w:basedOn w:val="TableNormal"/>
    <w:uiPriority w:val="39"/>
    <w:rsid w:val="00D7094D"/>
    <w:pPr>
      <w:spacing w:after="0" w:line="240" w:lineRule="auto"/>
    </w:pPr>
    <w:tblPr>
      <w:tblStyleRowBandSize w:val="1"/>
      <w:tblStyleColBandSize w:val="1"/>
      <w:tblBorders>
        <w:top w:val="single" w:sz="4" w:space="0" w:color="F0EDE8" w:themeColor="background2"/>
        <w:left w:val="single" w:sz="4" w:space="0" w:color="F0EDE8" w:themeColor="background2"/>
        <w:bottom w:val="single" w:sz="4" w:space="0" w:color="F0EDE8" w:themeColor="background2"/>
        <w:right w:val="single" w:sz="4" w:space="0" w:color="F0EDE8" w:themeColor="background2"/>
        <w:insideH w:val="single" w:sz="4" w:space="0" w:color="F0EDE8" w:themeColor="background2"/>
        <w:insideV w:val="single" w:sz="4" w:space="0" w:color="F0EDE8" w:themeColor="background2"/>
      </w:tblBorders>
      <w:tblCellMar>
        <w:top w:w="57" w:type="dxa"/>
        <w:left w:w="85" w:type="dxa"/>
        <w:bottom w:w="28" w:type="dxa"/>
        <w:right w:w="85" w:type="dxa"/>
      </w:tblCellMar>
    </w:tblPr>
    <w:tblStylePr w:type="firstRow">
      <w:pPr>
        <w:keepNext/>
        <w:wordWrap/>
      </w:pPr>
      <w:rPr>
        <w:rFonts w:asciiTheme="minorHAnsi" w:hAnsiTheme="minorHAnsi"/>
        <w:b/>
      </w:rPr>
      <w:tblPr/>
      <w:tcPr>
        <w:shd w:val="clear" w:color="auto" w:fill="F0EDE8" w:themeFill="background2"/>
      </w:tcPr>
    </w:tblStylePr>
    <w:tblStylePr w:type="lastRow">
      <w:rPr>
        <w:rFonts w:asciiTheme="minorHAnsi" w:hAnsiTheme="minorHAnsi"/>
        <w:b/>
      </w:rPr>
      <w:tblPr/>
      <w:tcPr>
        <w:tcBorders>
          <w:top w:val="single" w:sz="4" w:space="0" w:color="870034" w:themeColor="text2"/>
        </w:tcBorders>
      </w:tcPr>
    </w:tblStylePr>
    <w:tblStylePr w:type="firstCol">
      <w:rPr>
        <w:rFonts w:asciiTheme="minorHAnsi" w:hAnsiTheme="minorHAnsi"/>
        <w:b/>
      </w:rPr>
      <w:tblPr/>
      <w:tcPr>
        <w:shd w:val="clear" w:color="auto" w:fill="F0EDE8" w:themeFill="background2"/>
      </w:tcPr>
    </w:tblStylePr>
    <w:tblStylePr w:type="lastCol">
      <w:rPr>
        <w:rFonts w:asciiTheme="minorHAnsi" w:hAnsiTheme="minorHAnsi"/>
        <w:b/>
      </w:rPr>
      <w:tblPr/>
      <w:tcPr>
        <w:tcBorders>
          <w:left w:val="single" w:sz="4" w:space="0" w:color="870034" w:themeColor="text2"/>
        </w:tcBorders>
      </w:tcPr>
    </w:tblStylePr>
    <w:tblStylePr w:type="band1Vert">
      <w:tblPr/>
      <w:tcPr>
        <w:tcBorders>
          <w:left w:val="single" w:sz="4" w:space="0" w:color="870034" w:themeColor="text2"/>
          <w:right w:val="single" w:sz="4" w:space="0" w:color="870034" w:themeColor="text2"/>
        </w:tcBorders>
      </w:tcPr>
    </w:tblStylePr>
    <w:tblStylePr w:type="band2Vert">
      <w:tblPr/>
      <w:tcPr>
        <w:tcBorders>
          <w:left w:val="single" w:sz="4" w:space="0" w:color="870034" w:themeColor="text2"/>
          <w:right w:val="single" w:sz="4" w:space="0" w:color="870034" w:themeColor="text2"/>
        </w:tcBorders>
      </w:tcPr>
    </w:tblStylePr>
    <w:tblStylePr w:type="band1Horz">
      <w:tblPr/>
      <w:tcPr>
        <w:tcBorders>
          <w:top w:val="single" w:sz="4" w:space="0" w:color="870034" w:themeColor="text2"/>
          <w:bottom w:val="single" w:sz="4" w:space="0" w:color="870034" w:themeColor="text2"/>
        </w:tcBorders>
      </w:tcPr>
    </w:tblStylePr>
    <w:tblStylePr w:type="band2Horz">
      <w:tblPr/>
      <w:tcPr>
        <w:tcBorders>
          <w:top w:val="single" w:sz="4" w:space="0" w:color="870034" w:themeColor="text2"/>
          <w:bottom w:val="single" w:sz="4" w:space="0" w:color="870034" w:themeColor="text2"/>
        </w:tcBorders>
      </w:tcPr>
    </w:tblStylePr>
  </w:style>
  <w:style w:type="table" w:styleId="ColourfulListAccent6">
    <w:name w:val="Colorful List Accent 6"/>
    <w:basedOn w:val="TableNormal"/>
    <w:uiPriority w:val="72"/>
    <w:rsid w:val="00F04F4E"/>
    <w:pPr>
      <w:spacing w:after="0" w:line="240" w:lineRule="auto"/>
    </w:pPr>
    <w:rPr>
      <w:color w:val="000000" w:themeColor="text1"/>
    </w:rPr>
    <w:tblPr>
      <w:tblStyleRowBandSize w:val="1"/>
      <w:tblStyleColBandSize w:val="1"/>
    </w:tblPr>
    <w:tcPr>
      <w:shd w:val="clear" w:color="auto" w:fill="FDF4EA" w:themeFill="accent6" w:themeFillTint="19"/>
    </w:tcPr>
    <w:tblStylePr w:type="firstRow">
      <w:rPr>
        <w:b/>
        <w:bCs/>
        <w:color w:val="FFFFFF" w:themeColor="background1"/>
      </w:rPr>
      <w:tblPr/>
      <w:tcPr>
        <w:tcBorders>
          <w:bottom w:val="single" w:sz="12" w:space="0" w:color="FFFFFF" w:themeColor="background1"/>
        </w:tcBorders>
        <w:shd w:val="clear" w:color="auto" w:fill="0C6C41" w:themeFill="accent5" w:themeFillShade="CC"/>
      </w:tcPr>
    </w:tblStylePr>
    <w:tblStylePr w:type="lastRow">
      <w:rPr>
        <w:b/>
        <w:bCs/>
        <w:color w:val="0C6C4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3CA" w:themeFill="accent6" w:themeFillTint="3F"/>
      </w:tcPr>
    </w:tblStylePr>
    <w:tblStylePr w:type="band1Horz">
      <w:tblPr/>
      <w:tcPr>
        <w:shd w:val="clear" w:color="auto" w:fill="FBE8D5" w:themeFill="accent6" w:themeFillTint="33"/>
      </w:tcPr>
    </w:tblStylePr>
  </w:style>
  <w:style w:type="table" w:styleId="TableTheme">
    <w:name w:val="Table Theme"/>
    <w:basedOn w:val="TableNormal"/>
    <w:uiPriority w:val="99"/>
    <w:rsid w:val="00F04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04F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F04F4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04F4E"/>
    <w:pPr>
      <w:spacing w:after="0" w:line="240" w:lineRule="auto"/>
    </w:pPr>
    <w:tblPr>
      <w:tblStyleRowBandSize w:val="1"/>
      <w:tblStyleColBandSize w:val="1"/>
      <w:tblBorders>
        <w:top w:val="single" w:sz="4" w:space="0" w:color="FF78A7" w:themeColor="accent1" w:themeTint="66"/>
        <w:left w:val="single" w:sz="4" w:space="0" w:color="FF78A7" w:themeColor="accent1" w:themeTint="66"/>
        <w:bottom w:val="single" w:sz="4" w:space="0" w:color="FF78A7" w:themeColor="accent1" w:themeTint="66"/>
        <w:right w:val="single" w:sz="4" w:space="0" w:color="FF78A7" w:themeColor="accent1" w:themeTint="66"/>
        <w:insideH w:val="single" w:sz="4" w:space="0" w:color="FF78A7" w:themeColor="accent1" w:themeTint="66"/>
        <w:insideV w:val="single" w:sz="4" w:space="0" w:color="FF78A7" w:themeColor="accent1" w:themeTint="66"/>
      </w:tblBorders>
    </w:tblPr>
    <w:tblStylePr w:type="firstRow">
      <w:rPr>
        <w:b/>
        <w:bCs/>
      </w:rPr>
      <w:tblPr/>
      <w:tcPr>
        <w:tcBorders>
          <w:bottom w:val="single" w:sz="12" w:space="0" w:color="FF347B" w:themeColor="accent1" w:themeTint="99"/>
        </w:tcBorders>
      </w:tcPr>
    </w:tblStylePr>
    <w:tblStylePr w:type="lastRow">
      <w:rPr>
        <w:b/>
        <w:bCs/>
      </w:rPr>
      <w:tblPr/>
      <w:tcPr>
        <w:tcBorders>
          <w:top w:val="double" w:sz="2" w:space="0" w:color="FF347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F04F4E"/>
    <w:pPr>
      <w:spacing w:after="0" w:line="240" w:lineRule="auto"/>
    </w:pPr>
    <w:tblPr>
      <w:tblStyleRowBandSize w:val="1"/>
      <w:tblStyleColBandSize w:val="1"/>
      <w:tblBorders>
        <w:top w:val="single" w:sz="4" w:space="0" w:color="FF347B" w:themeColor="accent1" w:themeTint="99"/>
        <w:left w:val="single" w:sz="4" w:space="0" w:color="FF347B" w:themeColor="accent1" w:themeTint="99"/>
        <w:bottom w:val="single" w:sz="4" w:space="0" w:color="FF347B" w:themeColor="accent1" w:themeTint="99"/>
        <w:right w:val="single" w:sz="4" w:space="0" w:color="FF347B" w:themeColor="accent1" w:themeTint="99"/>
        <w:insideH w:val="single" w:sz="4" w:space="0" w:color="FF347B" w:themeColor="accent1" w:themeTint="99"/>
        <w:insideV w:val="single" w:sz="4" w:space="0" w:color="FF347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bottom w:val="single" w:sz="4" w:space="0" w:color="FF347B" w:themeColor="accent1" w:themeTint="99"/>
        </w:tcBorders>
      </w:tcPr>
    </w:tblStylePr>
    <w:tblStylePr w:type="nwCell">
      <w:tblPr/>
      <w:tcPr>
        <w:tcBorders>
          <w:bottom w:val="single" w:sz="4" w:space="0" w:color="FF347B" w:themeColor="accent1" w:themeTint="99"/>
        </w:tcBorders>
      </w:tcPr>
    </w:tblStylePr>
    <w:tblStylePr w:type="seCell">
      <w:tblPr/>
      <w:tcPr>
        <w:tcBorders>
          <w:top w:val="single" w:sz="4" w:space="0" w:color="FF347B" w:themeColor="accent1" w:themeTint="99"/>
        </w:tcBorders>
      </w:tcPr>
    </w:tblStylePr>
    <w:tblStylePr w:type="swCell">
      <w:tblPr/>
      <w:tcPr>
        <w:tcBorders>
          <w:top w:val="single" w:sz="4" w:space="0" w:color="FF347B" w:themeColor="accent1" w:themeTint="99"/>
        </w:tcBorders>
      </w:tcPr>
    </w:tblStylePr>
  </w:style>
  <w:style w:type="table" w:styleId="GridTable4">
    <w:name w:val="Grid Table 4"/>
    <w:basedOn w:val="TableNormal"/>
    <w:uiPriority w:val="49"/>
    <w:rsid w:val="00F04F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urfulAccent5">
    <w:name w:val="Grid Table 7 Colorful Accent 5"/>
    <w:basedOn w:val="TableNormal"/>
    <w:uiPriority w:val="52"/>
    <w:rsid w:val="00F04F4E"/>
    <w:pPr>
      <w:spacing w:after="0" w:line="240" w:lineRule="auto"/>
    </w:pPr>
    <w:rPr>
      <w:color w:val="0B653D" w:themeColor="accent5" w:themeShade="BF"/>
    </w:rPr>
    <w:tblPr>
      <w:tblStyleRowBandSize w:val="1"/>
      <w:tblStyleColBandSize w:val="1"/>
      <w:tblBorders>
        <w:top w:val="single" w:sz="4" w:space="0" w:color="3CE99C" w:themeColor="accent5" w:themeTint="99"/>
        <w:left w:val="single" w:sz="4" w:space="0" w:color="3CE99C" w:themeColor="accent5" w:themeTint="99"/>
        <w:bottom w:val="single" w:sz="4" w:space="0" w:color="3CE99C" w:themeColor="accent5" w:themeTint="99"/>
        <w:right w:val="single" w:sz="4" w:space="0" w:color="3CE99C" w:themeColor="accent5" w:themeTint="99"/>
        <w:insideH w:val="single" w:sz="4" w:space="0" w:color="3CE99C" w:themeColor="accent5" w:themeTint="99"/>
        <w:insideV w:val="single" w:sz="4" w:space="0" w:color="3CE9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bottom w:val="single" w:sz="4" w:space="0" w:color="3CE99C" w:themeColor="accent5" w:themeTint="99"/>
        </w:tcBorders>
      </w:tcPr>
    </w:tblStylePr>
    <w:tblStylePr w:type="nwCell">
      <w:tblPr/>
      <w:tcPr>
        <w:tcBorders>
          <w:bottom w:val="single" w:sz="4" w:space="0" w:color="3CE99C" w:themeColor="accent5" w:themeTint="99"/>
        </w:tcBorders>
      </w:tcPr>
    </w:tblStylePr>
    <w:tblStylePr w:type="seCell">
      <w:tblPr/>
      <w:tcPr>
        <w:tcBorders>
          <w:top w:val="single" w:sz="4" w:space="0" w:color="3CE99C" w:themeColor="accent5" w:themeTint="99"/>
        </w:tcBorders>
      </w:tcPr>
    </w:tblStylePr>
    <w:tblStylePr w:type="swCell">
      <w:tblPr/>
      <w:tcPr>
        <w:tcBorders>
          <w:top w:val="single" w:sz="4" w:space="0" w:color="3CE99C" w:themeColor="accent5" w:themeTint="99"/>
        </w:tcBorders>
      </w:tcPr>
    </w:tblStylePr>
  </w:style>
  <w:style w:type="table" w:styleId="ListTable1Light-Accent4">
    <w:name w:val="List Table 1 Light Accent 4"/>
    <w:basedOn w:val="TableNormal"/>
    <w:uiPriority w:val="46"/>
    <w:rsid w:val="00F04F4E"/>
    <w:pPr>
      <w:spacing w:after="0" w:line="240" w:lineRule="auto"/>
    </w:pPr>
    <w:tblPr>
      <w:tblStyleRowBandSize w:val="1"/>
      <w:tblStyleColBandSize w:val="1"/>
    </w:tblPr>
    <w:tblStylePr w:type="firstRow">
      <w:rPr>
        <w:b/>
        <w:bCs/>
      </w:rPr>
      <w:tblPr/>
      <w:tcPr>
        <w:tcBorders>
          <w:bottom w:val="single" w:sz="4" w:space="0" w:color="2FFFDF" w:themeColor="accent4" w:themeTint="99"/>
        </w:tcBorders>
      </w:tcPr>
    </w:tblStylePr>
    <w:tblStylePr w:type="lastRow">
      <w:rPr>
        <w:b/>
        <w:bCs/>
      </w:rPr>
      <w:tblPr/>
      <w:tcPr>
        <w:tcBorders>
          <w:top w:val="single" w:sz="4" w:space="0" w:color="2FFFDF" w:themeColor="accent4" w:themeTint="99"/>
        </w:tcBorders>
      </w:tcPr>
    </w:tblStylePr>
    <w:tblStylePr w:type="firstCol">
      <w:rPr>
        <w:b/>
        <w:bCs/>
      </w:rPr>
    </w:tblStylePr>
    <w:tblStylePr w:type="lastCol">
      <w:rPr>
        <w:b/>
        <w:bCs/>
      </w:rPr>
    </w:tblStylePr>
    <w:tblStylePr w:type="band1Vert">
      <w:tblPr/>
      <w:tcPr>
        <w:shd w:val="clear" w:color="auto" w:fill="B9FFF4" w:themeFill="accent4" w:themeFillTint="33"/>
      </w:tcPr>
    </w:tblStylePr>
    <w:tblStylePr w:type="band1Horz">
      <w:tblPr/>
      <w:tcPr>
        <w:shd w:val="clear" w:color="auto" w:fill="B9FFF4" w:themeFill="accent4" w:themeFillTint="33"/>
      </w:tcPr>
    </w:tblStylePr>
  </w:style>
  <w:style w:type="table" w:styleId="ListTable5Dark-Accent3">
    <w:name w:val="List Table 5 Dark Accent 3"/>
    <w:basedOn w:val="TableNormal"/>
    <w:uiPriority w:val="50"/>
    <w:rsid w:val="00F04F4E"/>
    <w:pPr>
      <w:spacing w:after="0" w:line="240" w:lineRule="auto"/>
    </w:pPr>
    <w:rPr>
      <w:color w:val="FFFFFF" w:themeColor="background1"/>
    </w:rPr>
    <w:tblPr>
      <w:tblStyleRowBandSize w:val="1"/>
      <w:tblStyleColBandSize w:val="1"/>
      <w:tblBorders>
        <w:top w:val="single" w:sz="24" w:space="0" w:color="00639C" w:themeColor="accent3"/>
        <w:left w:val="single" w:sz="24" w:space="0" w:color="00639C" w:themeColor="accent3"/>
        <w:bottom w:val="single" w:sz="24" w:space="0" w:color="00639C" w:themeColor="accent3"/>
        <w:right w:val="single" w:sz="24" w:space="0" w:color="00639C" w:themeColor="accent3"/>
      </w:tblBorders>
    </w:tblPr>
    <w:tcPr>
      <w:shd w:val="clear" w:color="auto" w:fill="0063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PlainTable2">
    <w:name w:val="Plain Table 2"/>
    <w:basedOn w:val="TableNormal"/>
    <w:uiPriority w:val="42"/>
    <w:rsid w:val="00F04F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Web2">
    <w:name w:val="Table Web 2"/>
    <w:basedOn w:val="TableNormal"/>
    <w:uiPriority w:val="99"/>
    <w:rsid w:val="00C96A49"/>
    <w:pPr>
      <w:spacing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GridTable7ColourfulAccent2">
    <w:name w:val="Grid Table 7 Colorful Accent 2"/>
    <w:basedOn w:val="TableNormal"/>
    <w:uiPriority w:val="52"/>
    <w:rsid w:val="00F04F4E"/>
    <w:pPr>
      <w:spacing w:after="0" w:line="240" w:lineRule="auto"/>
    </w:pPr>
    <w:rPr>
      <w:color w:val="462761" w:themeColor="accent2" w:themeShade="BF"/>
    </w:rPr>
    <w:tblPr>
      <w:tblStyleRowBandSize w:val="1"/>
      <w:tblStyleColBandSize w:val="1"/>
      <w:tblBorders>
        <w:top w:val="single" w:sz="4" w:space="0" w:color="9F72C6" w:themeColor="accent2" w:themeTint="99"/>
        <w:left w:val="single" w:sz="4" w:space="0" w:color="9F72C6" w:themeColor="accent2" w:themeTint="99"/>
        <w:bottom w:val="single" w:sz="4" w:space="0" w:color="9F72C6" w:themeColor="accent2" w:themeTint="99"/>
        <w:right w:val="single" w:sz="4" w:space="0" w:color="9F72C6" w:themeColor="accent2" w:themeTint="99"/>
        <w:insideH w:val="single" w:sz="4" w:space="0" w:color="9F72C6" w:themeColor="accent2" w:themeTint="99"/>
        <w:insideV w:val="single" w:sz="4" w:space="0" w:color="9F72C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0EC" w:themeFill="accent2" w:themeFillTint="33"/>
      </w:tcPr>
    </w:tblStylePr>
    <w:tblStylePr w:type="band1Horz">
      <w:tblPr/>
      <w:tcPr>
        <w:shd w:val="clear" w:color="auto" w:fill="DFD0EC" w:themeFill="accent2" w:themeFillTint="33"/>
      </w:tcPr>
    </w:tblStylePr>
    <w:tblStylePr w:type="neCell">
      <w:tblPr/>
      <w:tcPr>
        <w:tcBorders>
          <w:bottom w:val="single" w:sz="4" w:space="0" w:color="9F72C6" w:themeColor="accent2" w:themeTint="99"/>
        </w:tcBorders>
      </w:tcPr>
    </w:tblStylePr>
    <w:tblStylePr w:type="nwCell">
      <w:tblPr/>
      <w:tcPr>
        <w:tcBorders>
          <w:bottom w:val="single" w:sz="4" w:space="0" w:color="9F72C6" w:themeColor="accent2" w:themeTint="99"/>
        </w:tcBorders>
      </w:tcPr>
    </w:tblStylePr>
    <w:tblStylePr w:type="seCell">
      <w:tblPr/>
      <w:tcPr>
        <w:tcBorders>
          <w:top w:val="single" w:sz="4" w:space="0" w:color="9F72C6" w:themeColor="accent2" w:themeTint="99"/>
        </w:tcBorders>
      </w:tcPr>
    </w:tblStylePr>
    <w:tblStylePr w:type="swCell">
      <w:tblPr/>
      <w:tcPr>
        <w:tcBorders>
          <w:top w:val="single" w:sz="4" w:space="0" w:color="9F72C6" w:themeColor="accent2" w:themeTint="99"/>
        </w:tcBorders>
      </w:tcPr>
    </w:tblStylePr>
  </w:style>
  <w:style w:type="table" w:styleId="GridTable1Light">
    <w:name w:val="Grid Table 1 Light"/>
    <w:basedOn w:val="TableNormal"/>
    <w:uiPriority w:val="46"/>
    <w:rsid w:val="00F04F4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BodyText3"/>
    <w:link w:val="FootnoteTextChar"/>
    <w:uiPriority w:val="99"/>
    <w:semiHidden/>
    <w:rsid w:val="001D78E5"/>
    <w:pPr>
      <w:spacing w:after="0"/>
      <w:ind w:left="284" w:hanging="284"/>
    </w:pPr>
  </w:style>
  <w:style w:type="character" w:customStyle="1" w:styleId="FootnoteTextChar">
    <w:name w:val="Footnote Text Char"/>
    <w:basedOn w:val="DefaultParagraphFont"/>
    <w:link w:val="FootnoteText"/>
    <w:uiPriority w:val="99"/>
    <w:semiHidden/>
    <w:rsid w:val="001D78E5"/>
    <w:rPr>
      <w:sz w:val="16"/>
    </w:rPr>
  </w:style>
  <w:style w:type="character" w:styleId="FootnoteReference">
    <w:name w:val="footnote reference"/>
    <w:basedOn w:val="FootnoteTextChar"/>
    <w:uiPriority w:val="99"/>
    <w:semiHidden/>
    <w:rsid w:val="001D78E5"/>
    <w:rPr>
      <w:color w:val="AD003D" w:themeColor="accent1"/>
      <w:sz w:val="20"/>
      <w:vertAlign w:val="superscript"/>
    </w:rPr>
  </w:style>
  <w:style w:type="paragraph" w:styleId="TOCHeading">
    <w:name w:val="TOC Heading"/>
    <w:basedOn w:val="Heading1BodyText"/>
    <w:next w:val="Normal"/>
    <w:uiPriority w:val="39"/>
    <w:semiHidden/>
    <w:qFormat/>
    <w:rsid w:val="005424C3"/>
  </w:style>
  <w:style w:type="paragraph" w:styleId="TOC1">
    <w:name w:val="toc 1"/>
    <w:basedOn w:val="NoSpacing"/>
    <w:next w:val="Normal"/>
    <w:uiPriority w:val="39"/>
    <w:semiHidden/>
    <w:rsid w:val="00DD49DD"/>
    <w:pPr>
      <w:tabs>
        <w:tab w:val="right" w:leader="dot" w:pos="9639"/>
      </w:tabs>
      <w:ind w:left="567" w:hanging="567"/>
    </w:pPr>
    <w:rPr>
      <w:noProof/>
    </w:rPr>
  </w:style>
  <w:style w:type="paragraph" w:styleId="TOC2">
    <w:name w:val="toc 2"/>
    <w:basedOn w:val="TOC1"/>
    <w:next w:val="Normal"/>
    <w:uiPriority w:val="39"/>
    <w:semiHidden/>
    <w:rsid w:val="00DD49DD"/>
    <w:pPr>
      <w:ind w:left="851"/>
    </w:pPr>
  </w:style>
  <w:style w:type="paragraph" w:styleId="TOC3">
    <w:name w:val="toc 3"/>
    <w:basedOn w:val="TOC1"/>
    <w:next w:val="Normal"/>
    <w:uiPriority w:val="39"/>
    <w:semiHidden/>
    <w:rsid w:val="00DD49DD"/>
    <w:pPr>
      <w:ind w:left="1134"/>
    </w:pPr>
  </w:style>
  <w:style w:type="character" w:styleId="Hyperlink">
    <w:name w:val="Hyperlink"/>
    <w:basedOn w:val="DefaultParagraphFont"/>
    <w:uiPriority w:val="99"/>
    <w:semiHidden/>
    <w:rsid w:val="00263602"/>
    <w:rPr>
      <w:color w:val="00639C" w:themeColor="accent3"/>
      <w:u w:val="dotted" w:color="3D8B7A"/>
    </w:rPr>
  </w:style>
  <w:style w:type="paragraph" w:styleId="Caption">
    <w:name w:val="caption"/>
    <w:basedOn w:val="BodyText3"/>
    <w:next w:val="Normal"/>
    <w:uiPriority w:val="35"/>
    <w:semiHidden/>
    <w:qFormat/>
    <w:rsid w:val="00CE4209"/>
    <w:pPr>
      <w:spacing w:before="160"/>
    </w:pPr>
  </w:style>
  <w:style w:type="paragraph" w:styleId="TOAHeading">
    <w:name w:val="toa heading"/>
    <w:basedOn w:val="Heading1BodyText"/>
    <w:next w:val="Normal"/>
    <w:uiPriority w:val="99"/>
    <w:semiHidden/>
    <w:rsid w:val="005424C3"/>
  </w:style>
  <w:style w:type="paragraph" w:styleId="TableofAuthorities">
    <w:name w:val="table of authorities"/>
    <w:basedOn w:val="TOC1"/>
    <w:next w:val="Normal"/>
    <w:uiPriority w:val="99"/>
    <w:semiHidden/>
    <w:rsid w:val="0074030F"/>
  </w:style>
  <w:style w:type="paragraph" w:styleId="TableofFigures">
    <w:name w:val="table of figures"/>
    <w:basedOn w:val="TOC1"/>
    <w:next w:val="Normal"/>
    <w:uiPriority w:val="99"/>
    <w:semiHidden/>
    <w:rsid w:val="0074030F"/>
  </w:style>
  <w:style w:type="paragraph" w:styleId="Bibliography">
    <w:name w:val="Bibliography"/>
    <w:basedOn w:val="TOC1"/>
    <w:next w:val="Normal"/>
    <w:uiPriority w:val="37"/>
    <w:semiHidden/>
    <w:rsid w:val="0074030F"/>
  </w:style>
  <w:style w:type="paragraph" w:styleId="TOC4">
    <w:name w:val="toc 4"/>
    <w:basedOn w:val="TOC1"/>
    <w:next w:val="Normal"/>
    <w:uiPriority w:val="39"/>
    <w:semiHidden/>
    <w:rsid w:val="00DD49DD"/>
    <w:pPr>
      <w:ind w:left="1418"/>
    </w:pPr>
  </w:style>
  <w:style w:type="paragraph" w:styleId="TOC5">
    <w:name w:val="toc 5"/>
    <w:basedOn w:val="TOC1"/>
    <w:next w:val="Normal"/>
    <w:uiPriority w:val="39"/>
    <w:semiHidden/>
    <w:rsid w:val="00DD49DD"/>
    <w:pPr>
      <w:ind w:left="1701"/>
    </w:pPr>
  </w:style>
  <w:style w:type="paragraph" w:styleId="TOC6">
    <w:name w:val="toc 6"/>
    <w:basedOn w:val="TOC1"/>
    <w:next w:val="Normal"/>
    <w:uiPriority w:val="39"/>
    <w:semiHidden/>
    <w:rsid w:val="00DD49DD"/>
    <w:pPr>
      <w:ind w:left="1985"/>
    </w:pPr>
  </w:style>
  <w:style w:type="paragraph" w:styleId="TOC7">
    <w:name w:val="toc 7"/>
    <w:basedOn w:val="TOC1"/>
    <w:next w:val="Normal"/>
    <w:uiPriority w:val="39"/>
    <w:semiHidden/>
    <w:rsid w:val="00DD49DD"/>
    <w:pPr>
      <w:ind w:left="2268"/>
    </w:pPr>
  </w:style>
  <w:style w:type="paragraph" w:styleId="TOC8">
    <w:name w:val="toc 8"/>
    <w:basedOn w:val="TOC1"/>
    <w:next w:val="Normal"/>
    <w:uiPriority w:val="39"/>
    <w:semiHidden/>
    <w:rsid w:val="00DD49DD"/>
    <w:pPr>
      <w:ind w:left="2552"/>
    </w:pPr>
  </w:style>
  <w:style w:type="paragraph" w:styleId="TOC9">
    <w:name w:val="toc 9"/>
    <w:basedOn w:val="TOC1"/>
    <w:next w:val="Normal"/>
    <w:uiPriority w:val="39"/>
    <w:semiHidden/>
    <w:rsid w:val="00DD49DD"/>
    <w:pPr>
      <w:ind w:left="2835"/>
    </w:pPr>
  </w:style>
  <w:style w:type="paragraph" w:styleId="Header">
    <w:name w:val="header"/>
    <w:basedOn w:val="BodyText3"/>
    <w:link w:val="HeaderChar"/>
    <w:uiPriority w:val="99"/>
    <w:semiHidden/>
    <w:rsid w:val="00CE4209"/>
    <w:pPr>
      <w:spacing w:after="0"/>
      <w:contextualSpacing/>
      <w:jc w:val="right"/>
    </w:pPr>
    <w:rPr>
      <w:color w:val="7F7F7F" w:themeColor="text1" w:themeTint="80"/>
    </w:rPr>
  </w:style>
  <w:style w:type="character" w:customStyle="1" w:styleId="HeaderChar">
    <w:name w:val="Header Char"/>
    <w:basedOn w:val="DefaultParagraphFont"/>
    <w:link w:val="Header"/>
    <w:uiPriority w:val="99"/>
    <w:semiHidden/>
    <w:rsid w:val="001D78E5"/>
    <w:rPr>
      <w:color w:val="7F7F7F" w:themeColor="text1" w:themeTint="80"/>
      <w:sz w:val="16"/>
    </w:rPr>
  </w:style>
  <w:style w:type="paragraph" w:styleId="Footer">
    <w:name w:val="footer"/>
    <w:basedOn w:val="Header"/>
    <w:link w:val="FooterChar"/>
    <w:uiPriority w:val="99"/>
    <w:semiHidden/>
    <w:rsid w:val="0074030F"/>
  </w:style>
  <w:style w:type="character" w:customStyle="1" w:styleId="FooterChar">
    <w:name w:val="Footer Char"/>
    <w:basedOn w:val="DefaultParagraphFont"/>
    <w:link w:val="Footer"/>
    <w:uiPriority w:val="99"/>
    <w:semiHidden/>
    <w:rsid w:val="001D78E5"/>
    <w:rPr>
      <w:color w:val="7F7F7F" w:themeColor="text1" w:themeTint="80"/>
      <w:sz w:val="16"/>
    </w:rPr>
  </w:style>
  <w:style w:type="paragraph" w:styleId="BodyText3">
    <w:name w:val="Body Text 3"/>
    <w:basedOn w:val="BodyText"/>
    <w:link w:val="BodyText3Char"/>
    <w:uiPriority w:val="99"/>
    <w:semiHidden/>
    <w:rsid w:val="006C7FF8"/>
    <w:rPr>
      <w:sz w:val="16"/>
    </w:rPr>
  </w:style>
  <w:style w:type="character" w:customStyle="1" w:styleId="BodyText3Char">
    <w:name w:val="Body Text 3 Char"/>
    <w:basedOn w:val="DefaultParagraphFont"/>
    <w:link w:val="BodyText3"/>
    <w:uiPriority w:val="99"/>
    <w:semiHidden/>
    <w:rsid w:val="001D78E5"/>
    <w:rPr>
      <w:sz w:val="16"/>
    </w:rPr>
  </w:style>
  <w:style w:type="paragraph" w:styleId="BodyText">
    <w:name w:val="Body Text"/>
    <w:basedOn w:val="Normal"/>
    <w:link w:val="BodyTextChar"/>
    <w:uiPriority w:val="99"/>
    <w:semiHidden/>
    <w:rsid w:val="0074030F"/>
  </w:style>
  <w:style w:type="character" w:customStyle="1" w:styleId="BodyTextChar">
    <w:name w:val="Body Text Char"/>
    <w:basedOn w:val="DefaultParagraphFont"/>
    <w:link w:val="BodyText"/>
    <w:uiPriority w:val="99"/>
    <w:semiHidden/>
    <w:rsid w:val="001D78E5"/>
    <w:rPr>
      <w:sz w:val="20"/>
    </w:rPr>
  </w:style>
  <w:style w:type="paragraph" w:styleId="BodyText2">
    <w:name w:val="Body Text 2"/>
    <w:basedOn w:val="BodyText"/>
    <w:link w:val="BodyText2Char"/>
    <w:uiPriority w:val="99"/>
    <w:semiHidden/>
    <w:rsid w:val="006C7FF8"/>
    <w:pPr>
      <w:spacing w:line="360" w:lineRule="auto"/>
    </w:pPr>
  </w:style>
  <w:style w:type="character" w:customStyle="1" w:styleId="BodyText2Char">
    <w:name w:val="Body Text 2 Char"/>
    <w:basedOn w:val="DefaultParagraphFont"/>
    <w:link w:val="BodyText2"/>
    <w:uiPriority w:val="99"/>
    <w:semiHidden/>
    <w:rsid w:val="001D78E5"/>
    <w:rPr>
      <w:sz w:val="20"/>
    </w:rPr>
  </w:style>
  <w:style w:type="paragraph" w:styleId="BodyTextFirstIndent">
    <w:name w:val="Body Text First Indent"/>
    <w:basedOn w:val="BodyText"/>
    <w:link w:val="BodyTextFirstIndentChar"/>
    <w:uiPriority w:val="99"/>
    <w:semiHidden/>
    <w:rsid w:val="008C0686"/>
    <w:pPr>
      <w:ind w:firstLine="567"/>
    </w:pPr>
  </w:style>
  <w:style w:type="character" w:customStyle="1" w:styleId="BodyTextFirstIndentChar">
    <w:name w:val="Body Text First Indent Char"/>
    <w:basedOn w:val="BodyTextChar"/>
    <w:link w:val="BodyTextFirstIndent"/>
    <w:uiPriority w:val="99"/>
    <w:semiHidden/>
    <w:rsid w:val="001D78E5"/>
    <w:rPr>
      <w:sz w:val="20"/>
    </w:rPr>
  </w:style>
  <w:style w:type="paragraph" w:styleId="BodyTextIndent">
    <w:name w:val="Body Text Indent"/>
    <w:basedOn w:val="BodyText"/>
    <w:link w:val="BodyTextIndentChar"/>
    <w:uiPriority w:val="99"/>
    <w:semiHidden/>
    <w:rsid w:val="00227F89"/>
    <w:pPr>
      <w:ind w:left="567"/>
    </w:pPr>
  </w:style>
  <w:style w:type="character" w:customStyle="1" w:styleId="BodyTextIndentChar">
    <w:name w:val="Body Text Indent Char"/>
    <w:basedOn w:val="DefaultParagraphFont"/>
    <w:link w:val="BodyTextIndent"/>
    <w:uiPriority w:val="99"/>
    <w:semiHidden/>
    <w:rsid w:val="001D78E5"/>
    <w:rPr>
      <w:sz w:val="20"/>
    </w:rPr>
  </w:style>
  <w:style w:type="paragraph" w:styleId="BodyTextFirstIndent2">
    <w:name w:val="Body Text First Indent 2"/>
    <w:basedOn w:val="BodyText3"/>
    <w:link w:val="BodyTextFirstIndent2Char"/>
    <w:uiPriority w:val="99"/>
    <w:semiHidden/>
    <w:rsid w:val="008C0686"/>
    <w:pPr>
      <w:ind w:firstLine="284"/>
    </w:pPr>
  </w:style>
  <w:style w:type="character" w:customStyle="1" w:styleId="BodyTextFirstIndent2Char">
    <w:name w:val="Body Text First Indent 2 Char"/>
    <w:basedOn w:val="BodyTextIndentChar"/>
    <w:link w:val="BodyTextFirstIndent2"/>
    <w:uiPriority w:val="99"/>
    <w:semiHidden/>
    <w:rsid w:val="001D78E5"/>
    <w:rPr>
      <w:sz w:val="16"/>
    </w:rPr>
  </w:style>
  <w:style w:type="paragraph" w:styleId="BodyTextIndent2">
    <w:name w:val="Body Text Indent 2"/>
    <w:basedOn w:val="BodyText2"/>
    <w:link w:val="BodyTextIndent2Char"/>
    <w:uiPriority w:val="99"/>
    <w:semiHidden/>
    <w:rsid w:val="006C7FF8"/>
    <w:pPr>
      <w:ind w:left="567"/>
    </w:pPr>
  </w:style>
  <w:style w:type="character" w:customStyle="1" w:styleId="BodyTextIndent2Char">
    <w:name w:val="Body Text Indent 2 Char"/>
    <w:basedOn w:val="DefaultParagraphFont"/>
    <w:link w:val="BodyTextIndent2"/>
    <w:uiPriority w:val="99"/>
    <w:semiHidden/>
    <w:rsid w:val="001D78E5"/>
    <w:rPr>
      <w:sz w:val="20"/>
    </w:rPr>
  </w:style>
  <w:style w:type="paragraph" w:styleId="BodyTextIndent3">
    <w:name w:val="Body Text Indent 3"/>
    <w:basedOn w:val="BodyText3"/>
    <w:link w:val="BodyTextIndent3Char"/>
    <w:uiPriority w:val="99"/>
    <w:semiHidden/>
    <w:rsid w:val="008C0686"/>
    <w:pPr>
      <w:ind w:left="284"/>
    </w:pPr>
  </w:style>
  <w:style w:type="character" w:customStyle="1" w:styleId="BodyTextIndent3Char">
    <w:name w:val="Body Text Indent 3 Char"/>
    <w:basedOn w:val="DefaultParagraphFont"/>
    <w:link w:val="BodyTextIndent3"/>
    <w:uiPriority w:val="99"/>
    <w:semiHidden/>
    <w:rsid w:val="001D78E5"/>
    <w:rPr>
      <w:sz w:val="16"/>
    </w:rPr>
  </w:style>
  <w:style w:type="character" w:styleId="CommentReference">
    <w:name w:val="annotation reference"/>
    <w:basedOn w:val="CommentSubjectChar"/>
    <w:uiPriority w:val="99"/>
    <w:semiHidden/>
    <w:rsid w:val="006C7FF8"/>
    <w:rPr>
      <w:b/>
      <w:noProof/>
      <w:sz w:val="16"/>
    </w:rPr>
  </w:style>
  <w:style w:type="paragraph" w:styleId="CommentText">
    <w:name w:val="annotation text"/>
    <w:basedOn w:val="BodyText3"/>
    <w:link w:val="CommentTextChar"/>
    <w:uiPriority w:val="99"/>
    <w:semiHidden/>
    <w:rsid w:val="00DD49DD"/>
    <w:rPr>
      <w:noProof/>
    </w:rPr>
  </w:style>
  <w:style w:type="character" w:customStyle="1" w:styleId="CommentTextChar">
    <w:name w:val="Comment Text Char"/>
    <w:basedOn w:val="DefaultParagraphFont"/>
    <w:link w:val="CommentText"/>
    <w:uiPriority w:val="99"/>
    <w:semiHidden/>
    <w:rsid w:val="001D78E5"/>
    <w:rPr>
      <w:noProof/>
      <w:sz w:val="16"/>
    </w:rPr>
  </w:style>
  <w:style w:type="paragraph" w:styleId="CommentSubject">
    <w:name w:val="annotation subject"/>
    <w:basedOn w:val="CommentText"/>
    <w:next w:val="CommentText"/>
    <w:link w:val="CommentSubjectChar"/>
    <w:uiPriority w:val="99"/>
    <w:semiHidden/>
    <w:rsid w:val="000E1194"/>
    <w:rPr>
      <w:b/>
    </w:rPr>
  </w:style>
  <w:style w:type="character" w:customStyle="1" w:styleId="CommentSubjectChar">
    <w:name w:val="Comment Subject Char"/>
    <w:basedOn w:val="CommentTextChar"/>
    <w:link w:val="CommentSubject"/>
    <w:uiPriority w:val="99"/>
    <w:semiHidden/>
    <w:rsid w:val="001D78E5"/>
    <w:rPr>
      <w:b/>
      <w:noProof/>
      <w:sz w:val="16"/>
    </w:rPr>
  </w:style>
  <w:style w:type="paragraph" w:styleId="BalloonText">
    <w:name w:val="Balloon Text"/>
    <w:basedOn w:val="CommentText"/>
    <w:link w:val="BalloonTextChar"/>
    <w:uiPriority w:val="99"/>
    <w:semiHidden/>
    <w:rsid w:val="000E1194"/>
  </w:style>
  <w:style w:type="character" w:customStyle="1" w:styleId="BalloonTextChar">
    <w:name w:val="Balloon Text Char"/>
    <w:basedOn w:val="DefaultParagraphFont"/>
    <w:link w:val="BalloonText"/>
    <w:uiPriority w:val="99"/>
    <w:semiHidden/>
    <w:rsid w:val="001D78E5"/>
    <w:rPr>
      <w:noProof/>
      <w:sz w:val="16"/>
    </w:rPr>
  </w:style>
  <w:style w:type="paragraph" w:styleId="DocumentMap">
    <w:name w:val="Document Map"/>
    <w:basedOn w:val="BodyText3"/>
    <w:link w:val="DocumentMapChar"/>
    <w:uiPriority w:val="99"/>
    <w:semiHidden/>
    <w:rsid w:val="000E1194"/>
  </w:style>
  <w:style w:type="character" w:customStyle="1" w:styleId="DocumentMapChar">
    <w:name w:val="Document Map Char"/>
    <w:basedOn w:val="DefaultParagraphFont"/>
    <w:link w:val="DocumentMap"/>
    <w:uiPriority w:val="99"/>
    <w:semiHidden/>
    <w:rsid w:val="001D78E5"/>
    <w:rPr>
      <w:sz w:val="16"/>
    </w:rPr>
  </w:style>
  <w:style w:type="paragraph" w:styleId="Closing">
    <w:name w:val="Closing"/>
    <w:basedOn w:val="Normal"/>
    <w:link w:val="ClosingChar"/>
    <w:uiPriority w:val="99"/>
    <w:semiHidden/>
    <w:rsid w:val="000E1194"/>
  </w:style>
  <w:style w:type="character" w:customStyle="1" w:styleId="ClosingChar">
    <w:name w:val="Closing Char"/>
    <w:basedOn w:val="DefaultParagraphFont"/>
    <w:link w:val="Closing"/>
    <w:uiPriority w:val="99"/>
    <w:semiHidden/>
    <w:rsid w:val="001D78E5"/>
    <w:rPr>
      <w:sz w:val="20"/>
    </w:rPr>
  </w:style>
  <w:style w:type="paragraph" w:styleId="EmailSignature">
    <w:name w:val="E-mail Signature"/>
    <w:basedOn w:val="Signature"/>
    <w:link w:val="EmailSignatureChar"/>
    <w:uiPriority w:val="99"/>
    <w:semiHidden/>
    <w:rsid w:val="00BB1312"/>
  </w:style>
  <w:style w:type="character" w:customStyle="1" w:styleId="EmailSignatureChar">
    <w:name w:val="Email Signature Char"/>
    <w:basedOn w:val="DefaultParagraphFont"/>
    <w:link w:val="EmailSignature"/>
    <w:uiPriority w:val="99"/>
    <w:semiHidden/>
    <w:rsid w:val="001D78E5"/>
    <w:rPr>
      <w:sz w:val="20"/>
    </w:rPr>
  </w:style>
  <w:style w:type="paragraph" w:styleId="EndnoteText">
    <w:name w:val="endnote text"/>
    <w:basedOn w:val="FootnoteText"/>
    <w:link w:val="EndnoteTextChar"/>
    <w:uiPriority w:val="99"/>
    <w:semiHidden/>
    <w:rsid w:val="000E1194"/>
  </w:style>
  <w:style w:type="character" w:customStyle="1" w:styleId="EndnoteTextChar">
    <w:name w:val="Endnote Text Char"/>
    <w:basedOn w:val="DefaultParagraphFont"/>
    <w:link w:val="EndnoteText"/>
    <w:uiPriority w:val="99"/>
    <w:semiHidden/>
    <w:rsid w:val="001D78E5"/>
    <w:rPr>
      <w:sz w:val="16"/>
    </w:rPr>
  </w:style>
  <w:style w:type="character" w:styleId="EndnoteReference">
    <w:name w:val="endnote reference"/>
    <w:basedOn w:val="FootnoteReference"/>
    <w:uiPriority w:val="99"/>
    <w:semiHidden/>
    <w:rsid w:val="008C0686"/>
    <w:rPr>
      <w:color w:val="AD003D" w:themeColor="accent1"/>
      <w:sz w:val="20"/>
      <w:vertAlign w:val="superscript"/>
    </w:rPr>
  </w:style>
  <w:style w:type="paragraph" w:styleId="Signature">
    <w:name w:val="Signature"/>
    <w:basedOn w:val="NoSpacing"/>
    <w:link w:val="SignatureChar"/>
    <w:uiPriority w:val="99"/>
    <w:semiHidden/>
    <w:rsid w:val="000A6849"/>
  </w:style>
  <w:style w:type="character" w:customStyle="1" w:styleId="SignatureChar">
    <w:name w:val="Signature Char"/>
    <w:basedOn w:val="DefaultParagraphFont"/>
    <w:link w:val="Signature"/>
    <w:uiPriority w:val="99"/>
    <w:semiHidden/>
    <w:rsid w:val="001D78E5"/>
    <w:rPr>
      <w:sz w:val="20"/>
    </w:rPr>
  </w:style>
  <w:style w:type="paragraph" w:styleId="Salutation">
    <w:name w:val="Salutation"/>
    <w:basedOn w:val="Normal"/>
    <w:next w:val="Normal"/>
    <w:link w:val="SalutationChar"/>
    <w:uiPriority w:val="99"/>
    <w:semiHidden/>
    <w:rsid w:val="000E1194"/>
  </w:style>
  <w:style w:type="character" w:customStyle="1" w:styleId="SalutationChar">
    <w:name w:val="Salutation Char"/>
    <w:basedOn w:val="DefaultParagraphFont"/>
    <w:link w:val="Salutation"/>
    <w:uiPriority w:val="99"/>
    <w:semiHidden/>
    <w:rsid w:val="001D78E5"/>
    <w:rPr>
      <w:sz w:val="20"/>
    </w:rPr>
  </w:style>
  <w:style w:type="character" w:styleId="BookTitle">
    <w:name w:val="Book Title"/>
    <w:uiPriority w:val="33"/>
    <w:unhideWhenUsed/>
    <w:rsid w:val="00227F89"/>
    <w:rPr>
      <w:i/>
    </w:rPr>
  </w:style>
  <w:style w:type="character" w:styleId="IntenseReference">
    <w:name w:val="Intense Reference"/>
    <w:basedOn w:val="SubtleReference"/>
    <w:uiPriority w:val="32"/>
    <w:semiHidden/>
    <w:rsid w:val="005424C3"/>
    <w:rPr>
      <w:i/>
      <w:color w:val="AD003D" w:themeColor="accent1"/>
    </w:rPr>
  </w:style>
  <w:style w:type="character" w:styleId="SubtleReference">
    <w:name w:val="Subtle Reference"/>
    <w:basedOn w:val="BookTitle"/>
    <w:uiPriority w:val="31"/>
    <w:semiHidden/>
    <w:rsid w:val="005424C3"/>
    <w:rPr>
      <w:i/>
      <w:color w:val="7F7F7F" w:themeColor="text1" w:themeTint="80"/>
    </w:rPr>
  </w:style>
  <w:style w:type="paragraph" w:styleId="Index1">
    <w:name w:val="index 1"/>
    <w:basedOn w:val="TOC1"/>
    <w:next w:val="Normal"/>
    <w:autoRedefine/>
    <w:uiPriority w:val="99"/>
    <w:semiHidden/>
    <w:rsid w:val="00BB1312"/>
    <w:pPr>
      <w:tabs>
        <w:tab w:val="clear" w:pos="9639"/>
        <w:tab w:val="right" w:leader="dot" w:pos="9628"/>
      </w:tabs>
    </w:pPr>
  </w:style>
  <w:style w:type="paragraph" w:styleId="IndexHeading">
    <w:name w:val="index heading"/>
    <w:basedOn w:val="Heading1BodyText"/>
    <w:next w:val="Index1"/>
    <w:uiPriority w:val="99"/>
    <w:semiHidden/>
    <w:rsid w:val="005424C3"/>
  </w:style>
  <w:style w:type="paragraph" w:styleId="EnvelopeAddress">
    <w:name w:val="envelope address"/>
    <w:basedOn w:val="Normal"/>
    <w:uiPriority w:val="99"/>
    <w:semiHidden/>
    <w:rsid w:val="00BB1312"/>
    <w:pPr>
      <w:framePr w:hSpace="567" w:wrap="notBeside" w:vAnchor="text" w:hAnchor="text" w:xAlign="right" w:y="1" w:anchorLock="1"/>
      <w:contextualSpacing/>
    </w:pPr>
  </w:style>
  <w:style w:type="paragraph" w:styleId="EnvelopeReturn">
    <w:name w:val="envelope return"/>
    <w:basedOn w:val="EnvelopeAddress"/>
    <w:uiPriority w:val="99"/>
    <w:semiHidden/>
    <w:rsid w:val="006C7FF8"/>
    <w:pPr>
      <w:framePr w:wrap="notBeside"/>
    </w:pPr>
  </w:style>
  <w:style w:type="character" w:styleId="HTMLAcronym">
    <w:name w:val="HTML Acronym"/>
    <w:basedOn w:val="BookTitle"/>
    <w:uiPriority w:val="99"/>
    <w:semiHidden/>
    <w:rsid w:val="008C0686"/>
    <w:rPr>
      <w:i/>
    </w:rPr>
  </w:style>
  <w:style w:type="paragraph" w:styleId="HTMLAddress">
    <w:name w:val="HTML Address"/>
    <w:basedOn w:val="Normal"/>
    <w:link w:val="HTMLAddressChar"/>
    <w:uiPriority w:val="99"/>
    <w:semiHidden/>
    <w:rsid w:val="00BB1312"/>
    <w:rPr>
      <w:rFonts w:ascii="Arial Narrow" w:hAnsi="Arial Narrow"/>
      <w:color w:val="5E3482" w:themeColor="accent2"/>
    </w:rPr>
  </w:style>
  <w:style w:type="character" w:customStyle="1" w:styleId="HTMLAddressChar">
    <w:name w:val="HTML Address Char"/>
    <w:basedOn w:val="DefaultParagraphFont"/>
    <w:link w:val="HTMLAddress"/>
    <w:uiPriority w:val="99"/>
    <w:semiHidden/>
    <w:rsid w:val="001D78E5"/>
    <w:rPr>
      <w:rFonts w:ascii="Arial Narrow" w:hAnsi="Arial Narrow"/>
      <w:color w:val="5E3482" w:themeColor="accent2"/>
      <w:sz w:val="20"/>
    </w:rPr>
  </w:style>
  <w:style w:type="character" w:styleId="HTMLCite">
    <w:name w:val="HTML Cite"/>
    <w:basedOn w:val="BookTitle"/>
    <w:uiPriority w:val="99"/>
    <w:semiHidden/>
    <w:rsid w:val="008C0686"/>
    <w:rPr>
      <w:i/>
    </w:rPr>
  </w:style>
  <w:style w:type="paragraph" w:styleId="PlainText">
    <w:name w:val="Plain Text"/>
    <w:basedOn w:val="Normal"/>
    <w:link w:val="PlainTextChar"/>
    <w:uiPriority w:val="99"/>
    <w:semiHidden/>
    <w:rsid w:val="00C96A49"/>
    <w:rPr>
      <w:rFonts w:ascii="Source Code Pro" w:hAnsi="Source Code Pro"/>
      <w:lang w:eastAsia="en-GB"/>
    </w:rPr>
  </w:style>
  <w:style w:type="character" w:customStyle="1" w:styleId="PlainTextChar">
    <w:name w:val="Plain Text Char"/>
    <w:basedOn w:val="DefaultParagraphFont"/>
    <w:link w:val="PlainText"/>
    <w:uiPriority w:val="99"/>
    <w:semiHidden/>
    <w:rsid w:val="00C96A49"/>
    <w:rPr>
      <w:rFonts w:ascii="Source Code Pro" w:hAnsi="Source Code Pro"/>
      <w:kern w:val="20"/>
      <w:sz w:val="20"/>
      <w:lang w:eastAsia="en-GB"/>
      <w14:ligatures w14:val="standardContextual"/>
      <w14:numForm w14:val="lining"/>
      <w14:numSpacing w14:val="tabular"/>
      <w14:cntxtAlts/>
    </w:rPr>
  </w:style>
  <w:style w:type="paragraph" w:styleId="MacroText">
    <w:name w:val="macro"/>
    <w:basedOn w:val="PlainText"/>
    <w:link w:val="MacroTextChar"/>
    <w:uiPriority w:val="99"/>
    <w:semiHidden/>
    <w:rsid w:val="008C0686"/>
  </w:style>
  <w:style w:type="character" w:customStyle="1" w:styleId="MacroTextChar">
    <w:name w:val="Macro Text Char"/>
    <w:basedOn w:val="DefaultParagraphFont"/>
    <w:link w:val="MacroText"/>
    <w:uiPriority w:val="99"/>
    <w:semiHidden/>
    <w:rsid w:val="001D78E5"/>
    <w:rPr>
      <w:rFonts w:ascii="Consolas" w:hAnsi="Consolas"/>
      <w:sz w:val="20"/>
      <w:lang w:eastAsia="en-GB"/>
    </w:rPr>
  </w:style>
  <w:style w:type="character" w:styleId="HTMLCode">
    <w:name w:val="HTML Code"/>
    <w:basedOn w:val="PlainTextChar"/>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Sample">
    <w:name w:val="HTML Sample"/>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Typewriter">
    <w:name w:val="HTML Typewriter"/>
    <w:basedOn w:val="HTMLKeyboard"/>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character" w:styleId="HTMLKeyboard">
    <w:name w:val="HTML Keyboard"/>
    <w:basedOn w:val="HTMLCode"/>
    <w:uiPriority w:val="99"/>
    <w:semiHidden/>
    <w:rsid w:val="00C96A49"/>
    <w:rPr>
      <w:rFonts w:ascii="Source Code Pro" w:hAnsi="Source Code Pro"/>
      <w:noProof/>
      <w:kern w:val="20"/>
      <w:sz w:val="20"/>
      <w:lang w:val="en-GB" w:eastAsia="en-GB"/>
      <w14:ligatures w14:val="standardContextual"/>
      <w14:numForm w14:val="lining"/>
      <w14:numSpacing w14:val="tabular"/>
      <w14:cntxtAlts/>
    </w:rPr>
  </w:style>
  <w:style w:type="paragraph" w:styleId="HTMLPreformatted">
    <w:name w:val="HTML Preformatted"/>
    <w:basedOn w:val="PlainText"/>
    <w:link w:val="HTMLPreformattedChar"/>
    <w:uiPriority w:val="99"/>
    <w:semiHidden/>
    <w:rsid w:val="006C7FF8"/>
  </w:style>
  <w:style w:type="character" w:customStyle="1" w:styleId="HTMLPreformattedChar">
    <w:name w:val="HTML Preformatted Char"/>
    <w:basedOn w:val="DefaultParagraphFont"/>
    <w:link w:val="HTMLPreformatted"/>
    <w:uiPriority w:val="99"/>
    <w:semiHidden/>
    <w:rsid w:val="001D78E5"/>
    <w:rPr>
      <w:rFonts w:ascii="Consolas" w:hAnsi="Consolas"/>
      <w:sz w:val="20"/>
      <w:lang w:eastAsia="en-GB"/>
    </w:rPr>
  </w:style>
  <w:style w:type="character" w:styleId="HTMLVariable">
    <w:name w:val="HTML Variable"/>
    <w:basedOn w:val="HTMLCode"/>
    <w:uiPriority w:val="99"/>
    <w:semiHidden/>
    <w:rsid w:val="00C96A49"/>
    <w:rPr>
      <w:rFonts w:ascii="Source Code Pro" w:hAnsi="Source Code Pro"/>
      <w:noProof/>
      <w:color w:val="AD003D" w:themeColor="accent1"/>
      <w:kern w:val="20"/>
      <w:sz w:val="20"/>
      <w:lang w:val="en-GB" w:eastAsia="en-GB"/>
      <w14:ligatures w14:val="standardContextual"/>
      <w14:numForm w14:val="lining"/>
      <w14:numSpacing w14:val="tabular"/>
      <w14:cntxtAlts/>
    </w:rPr>
  </w:style>
  <w:style w:type="paragraph" w:styleId="NormalIndent">
    <w:name w:val="Normal Indent"/>
    <w:basedOn w:val="BodyTextIndent"/>
    <w:uiPriority w:val="99"/>
    <w:semiHidden/>
    <w:rsid w:val="006C7FF8"/>
  </w:style>
  <w:style w:type="paragraph" w:styleId="Date">
    <w:name w:val="Date"/>
    <w:basedOn w:val="Normal"/>
    <w:next w:val="Normal"/>
    <w:link w:val="DateChar"/>
    <w:uiPriority w:val="99"/>
    <w:semiHidden/>
    <w:rsid w:val="006C7FF8"/>
  </w:style>
  <w:style w:type="character" w:customStyle="1" w:styleId="DateChar">
    <w:name w:val="Date Char"/>
    <w:basedOn w:val="DefaultParagraphFont"/>
    <w:link w:val="Date"/>
    <w:uiPriority w:val="99"/>
    <w:semiHidden/>
    <w:rsid w:val="001D78E5"/>
    <w:rPr>
      <w:sz w:val="20"/>
    </w:rPr>
  </w:style>
  <w:style w:type="character" w:styleId="FollowedHyperlink">
    <w:name w:val="FollowedHyperlink"/>
    <w:basedOn w:val="DefaultParagraphFont"/>
    <w:uiPriority w:val="99"/>
    <w:semiHidden/>
    <w:rsid w:val="00BB1312"/>
    <w:rPr>
      <w:color w:val="0D5A4A" w:themeColor="followedHyperlink"/>
      <w:u w:val="none"/>
    </w:rPr>
  </w:style>
  <w:style w:type="paragraph" w:styleId="Index2">
    <w:name w:val="index 2"/>
    <w:basedOn w:val="TOC2"/>
    <w:next w:val="Normal"/>
    <w:autoRedefine/>
    <w:uiPriority w:val="99"/>
    <w:semiHidden/>
    <w:rsid w:val="00BB1312"/>
    <w:pPr>
      <w:tabs>
        <w:tab w:val="clear" w:pos="9639"/>
        <w:tab w:val="right" w:leader="dot" w:pos="9628"/>
      </w:tabs>
    </w:pPr>
  </w:style>
  <w:style w:type="paragraph" w:styleId="Index3">
    <w:name w:val="index 3"/>
    <w:basedOn w:val="TOC3"/>
    <w:next w:val="Normal"/>
    <w:autoRedefine/>
    <w:uiPriority w:val="99"/>
    <w:semiHidden/>
    <w:rsid w:val="00BB1312"/>
    <w:pPr>
      <w:tabs>
        <w:tab w:val="clear" w:pos="9639"/>
        <w:tab w:val="right" w:leader="dot" w:pos="9628"/>
      </w:tabs>
    </w:pPr>
  </w:style>
  <w:style w:type="paragraph" w:styleId="Index4">
    <w:name w:val="index 4"/>
    <w:basedOn w:val="TOC4"/>
    <w:next w:val="Normal"/>
    <w:autoRedefine/>
    <w:uiPriority w:val="99"/>
    <w:semiHidden/>
    <w:rsid w:val="00BB1312"/>
    <w:pPr>
      <w:tabs>
        <w:tab w:val="clear" w:pos="9639"/>
        <w:tab w:val="right" w:leader="dot" w:pos="9628"/>
      </w:tabs>
    </w:pPr>
  </w:style>
  <w:style w:type="paragraph" w:styleId="Index5">
    <w:name w:val="index 5"/>
    <w:basedOn w:val="TOC5"/>
    <w:next w:val="Normal"/>
    <w:autoRedefine/>
    <w:uiPriority w:val="99"/>
    <w:semiHidden/>
    <w:rsid w:val="00BB1312"/>
    <w:pPr>
      <w:tabs>
        <w:tab w:val="clear" w:pos="9639"/>
        <w:tab w:val="right" w:leader="dot" w:pos="9628"/>
      </w:tabs>
    </w:pPr>
  </w:style>
  <w:style w:type="paragraph" w:styleId="Index6">
    <w:name w:val="index 6"/>
    <w:basedOn w:val="TOC6"/>
    <w:next w:val="Normal"/>
    <w:autoRedefine/>
    <w:uiPriority w:val="99"/>
    <w:semiHidden/>
    <w:rsid w:val="00BB1312"/>
    <w:pPr>
      <w:tabs>
        <w:tab w:val="clear" w:pos="9639"/>
        <w:tab w:val="right" w:leader="dot" w:pos="9628"/>
      </w:tabs>
    </w:pPr>
  </w:style>
  <w:style w:type="paragraph" w:styleId="Index7">
    <w:name w:val="index 7"/>
    <w:basedOn w:val="TOC7"/>
    <w:next w:val="Normal"/>
    <w:autoRedefine/>
    <w:uiPriority w:val="99"/>
    <w:semiHidden/>
    <w:rsid w:val="00BB1312"/>
    <w:pPr>
      <w:tabs>
        <w:tab w:val="clear" w:pos="9639"/>
        <w:tab w:val="right" w:leader="dot" w:pos="9628"/>
      </w:tabs>
    </w:pPr>
  </w:style>
  <w:style w:type="paragraph" w:styleId="Index8">
    <w:name w:val="index 8"/>
    <w:basedOn w:val="TOC8"/>
    <w:next w:val="Normal"/>
    <w:autoRedefine/>
    <w:uiPriority w:val="99"/>
    <w:semiHidden/>
    <w:rsid w:val="00BB1312"/>
    <w:pPr>
      <w:tabs>
        <w:tab w:val="clear" w:pos="9639"/>
        <w:tab w:val="right" w:leader="dot" w:pos="9628"/>
      </w:tabs>
    </w:pPr>
  </w:style>
  <w:style w:type="paragraph" w:styleId="Index9">
    <w:name w:val="index 9"/>
    <w:basedOn w:val="TOC9"/>
    <w:next w:val="Normal"/>
    <w:autoRedefine/>
    <w:uiPriority w:val="99"/>
    <w:semiHidden/>
    <w:rsid w:val="00BB1312"/>
    <w:pPr>
      <w:tabs>
        <w:tab w:val="clear" w:pos="9639"/>
        <w:tab w:val="right" w:leader="dot" w:pos="9628"/>
      </w:tabs>
    </w:pPr>
  </w:style>
  <w:style w:type="character" w:styleId="LineNumber">
    <w:name w:val="line number"/>
    <w:basedOn w:val="PageNumber"/>
    <w:uiPriority w:val="99"/>
    <w:semiHidden/>
    <w:rsid w:val="00BB1312"/>
    <w:rPr>
      <w:color w:val="auto"/>
      <w:sz w:val="16"/>
    </w:rPr>
  </w:style>
  <w:style w:type="character" w:styleId="Emphasis">
    <w:name w:val="Emphasis"/>
    <w:basedOn w:val="DefaultParagraphFont"/>
    <w:uiPriority w:val="20"/>
    <w:rsid w:val="00BB1312"/>
    <w:rPr>
      <w:i/>
      <w:iCs/>
    </w:rPr>
  </w:style>
  <w:style w:type="character" w:styleId="PageNumber">
    <w:name w:val="page number"/>
    <w:basedOn w:val="FooterChar"/>
    <w:uiPriority w:val="99"/>
    <w:semiHidden/>
    <w:rsid w:val="00CE4209"/>
    <w:rPr>
      <w:color w:val="auto"/>
      <w:sz w:val="16"/>
    </w:rPr>
  </w:style>
  <w:style w:type="paragraph" w:styleId="List">
    <w:name w:val="List"/>
    <w:basedOn w:val="ListParagraph"/>
    <w:uiPriority w:val="99"/>
    <w:semiHidden/>
    <w:rsid w:val="00BB1312"/>
  </w:style>
  <w:style w:type="paragraph" w:styleId="List2">
    <w:name w:val="List 2"/>
    <w:basedOn w:val="List"/>
    <w:uiPriority w:val="99"/>
    <w:semiHidden/>
    <w:rsid w:val="00CC7BFE"/>
    <w:pPr>
      <w:ind w:left="1134"/>
    </w:pPr>
  </w:style>
  <w:style w:type="paragraph" w:styleId="List3">
    <w:name w:val="List 3"/>
    <w:basedOn w:val="List"/>
    <w:uiPriority w:val="99"/>
    <w:semiHidden/>
    <w:rsid w:val="00CC7BFE"/>
    <w:pPr>
      <w:ind w:left="1701"/>
    </w:pPr>
  </w:style>
  <w:style w:type="paragraph" w:styleId="List4">
    <w:name w:val="List 4"/>
    <w:basedOn w:val="List"/>
    <w:uiPriority w:val="99"/>
    <w:semiHidden/>
    <w:rsid w:val="00CC7BFE"/>
    <w:pPr>
      <w:ind w:left="2268"/>
    </w:pPr>
  </w:style>
  <w:style w:type="paragraph" w:styleId="List5">
    <w:name w:val="List 5"/>
    <w:basedOn w:val="List"/>
    <w:uiPriority w:val="99"/>
    <w:semiHidden/>
    <w:rsid w:val="00CC7BFE"/>
    <w:pPr>
      <w:ind w:left="2835"/>
    </w:pPr>
  </w:style>
  <w:style w:type="paragraph" w:styleId="ListBullet">
    <w:name w:val="List Bullet"/>
    <w:basedOn w:val="ListParagraph"/>
    <w:uiPriority w:val="99"/>
    <w:semiHidden/>
    <w:rsid w:val="00CC7BFE"/>
    <w:pPr>
      <w:numPr>
        <w:numId w:val="13"/>
      </w:numPr>
    </w:pPr>
  </w:style>
  <w:style w:type="paragraph" w:styleId="ListBullet2">
    <w:name w:val="List Bullet 2"/>
    <w:basedOn w:val="ListBullet"/>
    <w:uiPriority w:val="99"/>
    <w:semiHidden/>
    <w:rsid w:val="00CC7BFE"/>
    <w:pPr>
      <w:numPr>
        <w:ilvl w:val="1"/>
      </w:numPr>
    </w:pPr>
  </w:style>
  <w:style w:type="paragraph" w:styleId="ListBullet3">
    <w:name w:val="List Bullet 3"/>
    <w:basedOn w:val="ListBullet2"/>
    <w:uiPriority w:val="99"/>
    <w:semiHidden/>
    <w:rsid w:val="00CC7BFE"/>
    <w:pPr>
      <w:numPr>
        <w:ilvl w:val="2"/>
      </w:numPr>
    </w:pPr>
  </w:style>
  <w:style w:type="paragraph" w:styleId="ListBullet4">
    <w:name w:val="List Bullet 4"/>
    <w:basedOn w:val="ListBullet3"/>
    <w:uiPriority w:val="99"/>
    <w:semiHidden/>
    <w:rsid w:val="00CC7BFE"/>
    <w:pPr>
      <w:numPr>
        <w:ilvl w:val="3"/>
      </w:numPr>
    </w:pPr>
  </w:style>
  <w:style w:type="paragraph" w:styleId="ListBullet5">
    <w:name w:val="List Bullet 5"/>
    <w:basedOn w:val="ListBullet4"/>
    <w:uiPriority w:val="99"/>
    <w:semiHidden/>
    <w:rsid w:val="00CC7BFE"/>
    <w:pPr>
      <w:numPr>
        <w:ilvl w:val="4"/>
      </w:numPr>
    </w:pPr>
  </w:style>
  <w:style w:type="paragraph" w:styleId="ListContinue">
    <w:name w:val="List Continue"/>
    <w:basedOn w:val="List"/>
    <w:uiPriority w:val="99"/>
    <w:semiHidden/>
    <w:rsid w:val="00BB1312"/>
  </w:style>
  <w:style w:type="paragraph" w:styleId="ListContinue2">
    <w:name w:val="List Continue 2"/>
    <w:basedOn w:val="List2"/>
    <w:uiPriority w:val="99"/>
    <w:semiHidden/>
    <w:rsid w:val="00BB1312"/>
  </w:style>
  <w:style w:type="paragraph" w:styleId="ListContinue3">
    <w:name w:val="List Continue 3"/>
    <w:basedOn w:val="List3"/>
    <w:uiPriority w:val="99"/>
    <w:semiHidden/>
    <w:rsid w:val="00CC7BFE"/>
  </w:style>
  <w:style w:type="paragraph" w:styleId="ListContinue4">
    <w:name w:val="List Continue 4"/>
    <w:basedOn w:val="List4"/>
    <w:uiPriority w:val="99"/>
    <w:semiHidden/>
    <w:rsid w:val="00CC7BFE"/>
  </w:style>
  <w:style w:type="paragraph" w:styleId="ListContinue5">
    <w:name w:val="List Continue 5"/>
    <w:basedOn w:val="List5"/>
    <w:uiPriority w:val="99"/>
    <w:semiHidden/>
    <w:rsid w:val="00CC7BFE"/>
  </w:style>
  <w:style w:type="paragraph" w:styleId="ListNumber">
    <w:name w:val="List Number"/>
    <w:basedOn w:val="ListParagraph"/>
    <w:uiPriority w:val="99"/>
    <w:semiHidden/>
    <w:rsid w:val="00CC7BFE"/>
    <w:pPr>
      <w:numPr>
        <w:numId w:val="14"/>
      </w:numPr>
    </w:pPr>
  </w:style>
  <w:style w:type="paragraph" w:styleId="ListNumber2">
    <w:name w:val="List Number 2"/>
    <w:basedOn w:val="ListNumber"/>
    <w:uiPriority w:val="99"/>
    <w:semiHidden/>
    <w:rsid w:val="00CC7BFE"/>
    <w:pPr>
      <w:numPr>
        <w:ilvl w:val="1"/>
      </w:numPr>
    </w:pPr>
  </w:style>
  <w:style w:type="paragraph" w:styleId="ListNumber3">
    <w:name w:val="List Number 3"/>
    <w:basedOn w:val="ListNumber2"/>
    <w:uiPriority w:val="99"/>
    <w:semiHidden/>
    <w:rsid w:val="00CC7BFE"/>
    <w:pPr>
      <w:numPr>
        <w:ilvl w:val="2"/>
      </w:numPr>
    </w:pPr>
  </w:style>
  <w:style w:type="paragraph" w:styleId="ListNumber4">
    <w:name w:val="List Number 4"/>
    <w:basedOn w:val="ListNumber3"/>
    <w:uiPriority w:val="99"/>
    <w:semiHidden/>
    <w:rsid w:val="00CC7BFE"/>
    <w:pPr>
      <w:numPr>
        <w:ilvl w:val="3"/>
      </w:numPr>
    </w:pPr>
  </w:style>
  <w:style w:type="paragraph" w:styleId="ListNumber5">
    <w:name w:val="List Number 5"/>
    <w:basedOn w:val="ListNumber4"/>
    <w:uiPriority w:val="99"/>
    <w:semiHidden/>
    <w:rsid w:val="00CC7BFE"/>
    <w:pPr>
      <w:numPr>
        <w:ilvl w:val="4"/>
      </w:numPr>
    </w:pPr>
  </w:style>
  <w:style w:type="paragraph" w:styleId="MessageHeader">
    <w:name w:val="Message Header"/>
    <w:basedOn w:val="Heading1BodyText"/>
    <w:link w:val="MessageHeaderChar"/>
    <w:uiPriority w:val="99"/>
    <w:semiHidden/>
    <w:rsid w:val="005424C3"/>
  </w:style>
  <w:style w:type="character" w:customStyle="1" w:styleId="MessageHeaderChar">
    <w:name w:val="Message Header Char"/>
    <w:basedOn w:val="DefaultParagraphFont"/>
    <w:link w:val="MessageHeader"/>
    <w:uiPriority w:val="99"/>
    <w:semiHidden/>
    <w:rsid w:val="001D78E5"/>
    <w:rPr>
      <w:rFonts w:asciiTheme="majorHAnsi" w:hAnsiTheme="majorHAnsi"/>
      <w:color w:val="870034" w:themeColor="text2"/>
      <w:sz w:val="40"/>
    </w:rPr>
  </w:style>
  <w:style w:type="paragraph" w:styleId="NormalWeb">
    <w:name w:val="Normal (Web)"/>
    <w:basedOn w:val="Normal"/>
    <w:uiPriority w:val="99"/>
    <w:semiHidden/>
    <w:rsid w:val="005424C3"/>
    <w:rPr>
      <w:rFonts w:ascii="Tahoma" w:hAnsi="Tahoma"/>
    </w:rPr>
  </w:style>
  <w:style w:type="paragraph" w:styleId="NoteHeading">
    <w:name w:val="Note Heading"/>
    <w:basedOn w:val="Heading1BodyText"/>
    <w:next w:val="Normal"/>
    <w:link w:val="NoteHeadingChar"/>
    <w:uiPriority w:val="99"/>
    <w:semiHidden/>
    <w:rsid w:val="005424C3"/>
  </w:style>
  <w:style w:type="character" w:customStyle="1" w:styleId="NoteHeadingChar">
    <w:name w:val="Note Heading Char"/>
    <w:basedOn w:val="DefaultParagraphFont"/>
    <w:link w:val="NoteHeading"/>
    <w:uiPriority w:val="99"/>
    <w:semiHidden/>
    <w:rsid w:val="001D78E5"/>
    <w:rPr>
      <w:rFonts w:asciiTheme="majorHAnsi" w:hAnsiTheme="majorHAnsi"/>
      <w:color w:val="870034" w:themeColor="text2"/>
      <w:sz w:val="40"/>
    </w:rPr>
  </w:style>
  <w:style w:type="paragraph" w:customStyle="1" w:styleId="Heading1BodyText">
    <w:name w:val="Heading 1 (Body Text)"/>
    <w:basedOn w:val="Heading1"/>
    <w:next w:val="Normal"/>
    <w:uiPriority w:val="10"/>
    <w:semiHidden/>
    <w:rsid w:val="005424C3"/>
    <w:pPr>
      <w:outlineLvl w:val="9"/>
    </w:pPr>
  </w:style>
  <w:style w:type="character" w:styleId="Mention">
    <w:name w:val="Mention"/>
    <w:uiPriority w:val="99"/>
    <w:semiHidden/>
    <w:rsid w:val="005424C3"/>
  </w:style>
  <w:style w:type="character" w:styleId="SmartHyperlink">
    <w:name w:val="Smart Hyperlink"/>
    <w:basedOn w:val="Hyperlink"/>
    <w:uiPriority w:val="99"/>
    <w:semiHidden/>
    <w:rsid w:val="005424C3"/>
    <w:rPr>
      <w:color w:val="0D5A4A" w:themeColor="hyperlink"/>
      <w:u w:val="none" w:color="3D8B7A"/>
    </w:rPr>
  </w:style>
  <w:style w:type="table" w:styleId="GridTable2-Accent1">
    <w:name w:val="Grid Table 2 Accent 1"/>
    <w:basedOn w:val="TableNormal"/>
    <w:uiPriority w:val="47"/>
    <w:rsid w:val="00C96A49"/>
    <w:pPr>
      <w:spacing w:after="0" w:line="240" w:lineRule="auto"/>
    </w:pPr>
    <w:tblPr>
      <w:tblStyleRowBandSize w:val="1"/>
      <w:tblStyleColBandSize w:val="1"/>
      <w:tblBorders>
        <w:top w:val="single" w:sz="2" w:space="0" w:color="FF347B" w:themeColor="accent1" w:themeTint="99"/>
        <w:bottom w:val="single" w:sz="2" w:space="0" w:color="FF347B" w:themeColor="accent1" w:themeTint="99"/>
        <w:insideH w:val="single" w:sz="2" w:space="0" w:color="FF347B" w:themeColor="accent1" w:themeTint="99"/>
        <w:insideV w:val="single" w:sz="2" w:space="0" w:color="FF347B" w:themeColor="accent1" w:themeTint="99"/>
      </w:tblBorders>
    </w:tblPr>
    <w:tblStylePr w:type="firstRow">
      <w:rPr>
        <w:b/>
        <w:bCs/>
      </w:rPr>
      <w:tblPr/>
      <w:tcPr>
        <w:tcBorders>
          <w:top w:val="nil"/>
          <w:bottom w:val="single" w:sz="12" w:space="0" w:color="FF347B" w:themeColor="accent1" w:themeTint="99"/>
          <w:insideH w:val="nil"/>
          <w:insideV w:val="nil"/>
        </w:tcBorders>
        <w:shd w:val="clear" w:color="auto" w:fill="FFFFFF" w:themeFill="background1"/>
      </w:tcPr>
    </w:tblStylePr>
    <w:tblStylePr w:type="lastRow">
      <w:rPr>
        <w:b/>
        <w:bCs/>
      </w:rPr>
      <w:tblPr/>
      <w:tcPr>
        <w:tcBorders>
          <w:top w:val="double" w:sz="2" w:space="0" w:color="FF347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BD2" w:themeFill="accent1" w:themeFillTint="33"/>
      </w:tcPr>
    </w:tblStylePr>
    <w:tblStylePr w:type="band1Horz">
      <w:tblPr/>
      <w:tcPr>
        <w:shd w:val="clear" w:color="auto" w:fill="FFBBD2" w:themeFill="accent1" w:themeFillTint="33"/>
      </w:tcPr>
    </w:tblStylePr>
  </w:style>
  <w:style w:type="character" w:styleId="PlaceholderText">
    <w:name w:val="Placeholder Text"/>
    <w:basedOn w:val="DefaultParagraphFont"/>
    <w:uiPriority w:val="99"/>
    <w:semiHidden/>
    <w:rsid w:val="00CE4209"/>
    <w:rPr>
      <w:color w:val="808080"/>
    </w:rPr>
  </w:style>
  <w:style w:type="numbering" w:customStyle="1" w:styleId="OrderedList">
    <w:name w:val="Ordered List"/>
    <w:uiPriority w:val="99"/>
    <w:rsid w:val="005F6BCF"/>
    <w:pPr>
      <w:numPr>
        <w:numId w:val="25"/>
      </w:numPr>
    </w:pPr>
  </w:style>
  <w:style w:type="numbering" w:customStyle="1" w:styleId="UnorderedList">
    <w:name w:val="Unordered List"/>
    <w:uiPriority w:val="99"/>
    <w:rsid w:val="005F6BCF"/>
    <w:pPr>
      <w:numPr>
        <w:numId w:val="27"/>
      </w:numPr>
    </w:pPr>
  </w:style>
  <w:style w:type="table" w:styleId="GridTable5Dark-Accent6">
    <w:name w:val="Grid Table 5 Dark Accent 6"/>
    <w:basedOn w:val="TableNormal"/>
    <w:uiPriority w:val="50"/>
    <w:rsid w:val="00C96A4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8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912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912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912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912D" w:themeFill="accent6"/>
      </w:tcPr>
    </w:tblStylePr>
    <w:tblStylePr w:type="band1Vert">
      <w:tblPr/>
      <w:tcPr>
        <w:shd w:val="clear" w:color="auto" w:fill="F7D2AB" w:themeFill="accent6" w:themeFillTint="66"/>
      </w:tcPr>
    </w:tblStylePr>
    <w:tblStylePr w:type="band1Horz">
      <w:tblPr/>
      <w:tcPr>
        <w:shd w:val="clear" w:color="auto" w:fill="F7D2AB" w:themeFill="accent6" w:themeFillTint="66"/>
      </w:tcPr>
    </w:tblStylePr>
  </w:style>
  <w:style w:type="table" w:styleId="ListTable1Light">
    <w:name w:val="List Table 1 Light"/>
    <w:basedOn w:val="TableNormal"/>
    <w:uiPriority w:val="46"/>
    <w:rsid w:val="00C96A4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
    <w:name w:val="List Table 6 Colorful"/>
    <w:basedOn w:val="TableNormal"/>
    <w:uiPriority w:val="51"/>
    <w:rsid w:val="00C96A4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urfulAccent5">
    <w:name w:val="List Table 7 Colorful Accent 5"/>
    <w:basedOn w:val="TableNormal"/>
    <w:uiPriority w:val="52"/>
    <w:rsid w:val="00C96A49"/>
    <w:pPr>
      <w:spacing w:after="0" w:line="240" w:lineRule="auto"/>
    </w:pPr>
    <w:rPr>
      <w:color w:val="0B653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885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885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885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8852" w:themeColor="accent5"/>
        </w:tcBorders>
        <w:shd w:val="clear" w:color="auto" w:fill="FFFFFF" w:themeFill="background1"/>
      </w:tcPr>
    </w:tblStylePr>
    <w:tblStylePr w:type="band1Vert">
      <w:tblPr/>
      <w:tcPr>
        <w:shd w:val="clear" w:color="auto" w:fill="BEF8DE" w:themeFill="accent5" w:themeFillTint="33"/>
      </w:tcPr>
    </w:tblStylePr>
    <w:tblStylePr w:type="band1Horz">
      <w:tblPr/>
      <w:tcPr>
        <w:shd w:val="clear" w:color="auto" w:fill="BEF8D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96A49"/>
    <w:pPr>
      <w:spacing w:after="0" w:line="240" w:lineRule="auto"/>
    </w:pPr>
    <w:rPr>
      <w:color w:val="81002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003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003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003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003D" w:themeColor="accent1"/>
        </w:tcBorders>
        <w:shd w:val="clear" w:color="auto" w:fill="FFFFFF" w:themeFill="background1"/>
      </w:tcPr>
    </w:tblStylePr>
    <w:tblStylePr w:type="band1Vert">
      <w:tblPr/>
      <w:tcPr>
        <w:shd w:val="clear" w:color="auto" w:fill="FFBBD2" w:themeFill="accent1" w:themeFillTint="33"/>
      </w:tcPr>
    </w:tblStylePr>
    <w:tblStylePr w:type="band1Horz">
      <w:tblPr/>
      <w:tcPr>
        <w:shd w:val="clear" w:color="auto" w:fill="FFBB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C96A4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C96A4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96A4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Text">
    <w:name w:val="Table Text"/>
    <w:basedOn w:val="Normal"/>
    <w:uiPriority w:val="38"/>
    <w:rsid w:val="008A16A1"/>
    <w:pPr>
      <w:spacing w:after="60" w:line="240" w:lineRule="auto"/>
    </w:pPr>
    <w:rPr>
      <w:sz w:val="19"/>
    </w:rPr>
  </w:style>
  <w:style w:type="character" w:styleId="UnresolvedMention">
    <w:name w:val="Unresolved Mention"/>
    <w:basedOn w:val="DefaultParagraphFont"/>
    <w:uiPriority w:val="99"/>
    <w:semiHidden/>
    <w:unhideWhenUsed/>
    <w:rsid w:val="00D7094D"/>
    <w:rPr>
      <w:color w:val="605E5C"/>
      <w:shd w:val="clear" w:color="auto" w:fill="E1DFDD"/>
    </w:rPr>
  </w:style>
  <w:style w:type="table" w:customStyle="1" w:styleId="Box">
    <w:name w:val="Box"/>
    <w:basedOn w:val="TableGrid"/>
    <w:uiPriority w:val="99"/>
    <w:rsid w:val="006D577B"/>
    <w:pPr>
      <w:spacing w:before="120" w:after="40" w:line="312" w:lineRule="auto"/>
    </w:pPr>
    <w:tblPr>
      <w:tbl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one" w:sz="0" w:space="0" w:color="auto"/>
        <w:insideV w:val="none" w:sz="0" w:space="0" w:color="auto"/>
      </w:tblBorders>
      <w:tblCellMar>
        <w:top w:w="113" w:type="dxa"/>
        <w:left w:w="284" w:type="dxa"/>
        <w:bottom w:w="113" w:type="dxa"/>
        <w:right w:w="284" w:type="dxa"/>
      </w:tblCellMar>
    </w:tblPr>
    <w:tblStylePr w:type="firstRow">
      <w:pPr>
        <w:keepNext/>
        <w:wordWrap/>
      </w:pPr>
      <w:rPr>
        <w:rFonts w:asciiTheme="minorHAnsi" w:hAnsiTheme="minorHAnsi"/>
        <w:b w:val="0"/>
      </w:rPr>
      <w:tblPr/>
      <w:tcPr>
        <w:tcBorders>
          <w:bottom w:val="nil"/>
        </w:tcBorders>
        <w:shd w:val="clear" w:color="auto" w:fill="F0EDE8" w:themeFill="background2"/>
      </w:tcPr>
    </w:tblStylePr>
    <w:tblStylePr w:type="lastRow">
      <w:rPr>
        <w:rFonts w:asciiTheme="minorHAnsi" w:hAnsiTheme="minorHAnsi"/>
        <w:b w:val="0"/>
      </w:rPr>
      <w:tblPr/>
      <w:tcPr>
        <w:tcBorders>
          <w:top w:val="single" w:sz="4" w:space="0" w:color="8F7C5D" w:themeColor="background2" w:themeShade="80"/>
        </w:tcBorders>
        <w:shd w:val="clear" w:color="auto" w:fill="F0EDE8" w:themeFill="background2"/>
      </w:tcPr>
    </w:tblStylePr>
    <w:tblStylePr w:type="firstCol">
      <w:rPr>
        <w:rFonts w:asciiTheme="minorHAnsi" w:hAnsiTheme="minorHAnsi"/>
        <w:b w:val="0"/>
      </w:rPr>
      <w:tblPr/>
      <w:tcPr>
        <w:tcBorders>
          <w:right w:val="single" w:sz="4" w:space="0" w:color="8F7C5D" w:themeColor="background2" w:themeShade="80"/>
        </w:tcBorders>
        <w:shd w:val="clear" w:color="auto" w:fill="F0EDE8" w:themeFill="background2"/>
      </w:tcPr>
    </w:tblStylePr>
    <w:tblStylePr w:type="lastCol">
      <w:rPr>
        <w:rFonts w:asciiTheme="minorHAnsi" w:hAnsiTheme="minorHAnsi"/>
        <w:b w:val="0"/>
      </w:rPr>
      <w:tblPr/>
      <w:tcPr>
        <w:tcBorders>
          <w:left w:val="single" w:sz="4" w:space="0" w:color="8F7C5D" w:themeColor="background2" w:themeShade="80"/>
        </w:tcBorders>
        <w:shd w:val="clear" w:color="auto" w:fill="F0EDE8" w:themeFill="background2"/>
      </w:tcPr>
    </w:tblStylePr>
    <w:tblStylePr w:type="band1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2Vert">
      <w:tblPr/>
      <w:tcPr>
        <w:tcBorders>
          <w:left w:val="single" w:sz="4" w:space="0" w:color="8F7C5D" w:themeColor="background2" w:themeShade="80"/>
          <w:right w:val="single" w:sz="4" w:space="0" w:color="8F7C5D" w:themeColor="background2" w:themeShade="80"/>
        </w:tcBorders>
        <w:shd w:val="clear" w:color="auto" w:fill="F0EDE8" w:themeFill="background2"/>
      </w:tcPr>
    </w:tblStylePr>
    <w:tblStylePr w:type="band1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band2Horz">
      <w:tblPr/>
      <w:tcPr>
        <w:tcBorders>
          <w:top w:val="single" w:sz="4" w:space="0" w:color="8F7C5D" w:themeColor="background2" w:themeShade="80"/>
          <w:bottom w:val="single" w:sz="4" w:space="0" w:color="8F7C5D" w:themeColor="background2" w:themeShade="80"/>
        </w:tcBorders>
        <w:shd w:val="clear" w:color="auto" w:fill="F0EDE8" w:themeFill="background2"/>
      </w:tcPr>
    </w:tblStylePr>
    <w:tblStylePr w:type="n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n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e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tblStylePr w:type="swCell">
      <w:tblPr/>
      <w:tcPr>
        <w:tcBorders>
          <w:top w:val="single" w:sz="4" w:space="0" w:color="8F7C5D" w:themeColor="background2" w:themeShade="80"/>
          <w:left w:val="single" w:sz="4" w:space="0" w:color="8F7C5D" w:themeColor="background2" w:themeShade="80"/>
          <w:bottom w:val="single" w:sz="4" w:space="0" w:color="8F7C5D" w:themeColor="background2" w:themeShade="80"/>
          <w:right w:val="single" w:sz="4" w:space="0" w:color="8F7C5D" w:themeColor="background2" w:themeShade="80"/>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62066">
      <w:bodyDiv w:val="1"/>
      <w:marLeft w:val="0"/>
      <w:marRight w:val="0"/>
      <w:marTop w:val="0"/>
      <w:marBottom w:val="0"/>
      <w:divBdr>
        <w:top w:val="none" w:sz="0" w:space="0" w:color="auto"/>
        <w:left w:val="none" w:sz="0" w:space="0" w:color="auto"/>
        <w:bottom w:val="none" w:sz="0" w:space="0" w:color="auto"/>
        <w:right w:val="none" w:sz="0" w:space="0" w:color="auto"/>
      </w:divBdr>
    </w:div>
    <w:div w:id="62265798">
      <w:bodyDiv w:val="1"/>
      <w:marLeft w:val="0"/>
      <w:marRight w:val="0"/>
      <w:marTop w:val="0"/>
      <w:marBottom w:val="0"/>
      <w:divBdr>
        <w:top w:val="none" w:sz="0" w:space="0" w:color="auto"/>
        <w:left w:val="none" w:sz="0" w:space="0" w:color="auto"/>
        <w:bottom w:val="none" w:sz="0" w:space="0" w:color="auto"/>
        <w:right w:val="none" w:sz="0" w:space="0" w:color="auto"/>
      </w:divBdr>
    </w:div>
    <w:div w:id="146827682">
      <w:bodyDiv w:val="1"/>
      <w:marLeft w:val="0"/>
      <w:marRight w:val="0"/>
      <w:marTop w:val="0"/>
      <w:marBottom w:val="0"/>
      <w:divBdr>
        <w:top w:val="none" w:sz="0" w:space="0" w:color="auto"/>
        <w:left w:val="none" w:sz="0" w:space="0" w:color="auto"/>
        <w:bottom w:val="none" w:sz="0" w:space="0" w:color="auto"/>
        <w:right w:val="none" w:sz="0" w:space="0" w:color="auto"/>
      </w:divBdr>
    </w:div>
    <w:div w:id="653074210">
      <w:bodyDiv w:val="1"/>
      <w:marLeft w:val="0"/>
      <w:marRight w:val="0"/>
      <w:marTop w:val="0"/>
      <w:marBottom w:val="0"/>
      <w:divBdr>
        <w:top w:val="none" w:sz="0" w:space="0" w:color="auto"/>
        <w:left w:val="none" w:sz="0" w:space="0" w:color="auto"/>
        <w:bottom w:val="none" w:sz="0" w:space="0" w:color="auto"/>
        <w:right w:val="none" w:sz="0" w:space="0" w:color="auto"/>
      </w:divBdr>
    </w:div>
    <w:div w:id="1456825654">
      <w:bodyDiv w:val="1"/>
      <w:marLeft w:val="0"/>
      <w:marRight w:val="0"/>
      <w:marTop w:val="0"/>
      <w:marBottom w:val="0"/>
      <w:divBdr>
        <w:top w:val="none" w:sz="0" w:space="0" w:color="auto"/>
        <w:left w:val="none" w:sz="0" w:space="0" w:color="auto"/>
        <w:bottom w:val="none" w:sz="0" w:space="0" w:color="auto"/>
        <w:right w:val="none" w:sz="0" w:space="0" w:color="auto"/>
      </w:divBdr>
    </w:div>
    <w:div w:id="1564174539">
      <w:bodyDiv w:val="1"/>
      <w:marLeft w:val="0"/>
      <w:marRight w:val="0"/>
      <w:marTop w:val="0"/>
      <w:marBottom w:val="0"/>
      <w:divBdr>
        <w:top w:val="none" w:sz="0" w:space="0" w:color="auto"/>
        <w:left w:val="none" w:sz="0" w:space="0" w:color="auto"/>
        <w:bottom w:val="none" w:sz="0" w:space="0" w:color="auto"/>
        <w:right w:val="none" w:sz="0" w:space="0" w:color="auto"/>
      </w:divBdr>
    </w:div>
    <w:div w:id="1569531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corteidh.or.cr/docs/casos/articulos/seriec_330_esp.pdf" TargetMode="External"/><Relationship Id="rId13" Type="http://schemas.openxmlformats.org/officeDocument/2006/relationships/hyperlink" Target="https://docs.un.org/en/A/HRC/23/39" TargetMode="External"/><Relationship Id="rId3" Type="http://schemas.openxmlformats.org/officeDocument/2006/relationships/hyperlink" Target="https://legal.un.org/ilc/texts/instruments/english/conventions/1_1_1969.pdf" TargetMode="External"/><Relationship Id="rId7" Type="http://schemas.openxmlformats.org/officeDocument/2006/relationships/hyperlink" Target="https://www.oas.org/en/iachr/reports/pdfs/CorruptionHR.pdf" TargetMode="External"/><Relationship Id="rId12" Type="http://schemas.openxmlformats.org/officeDocument/2006/relationships/hyperlink" Target="https://www.oas.org/en/sla/dil/docs/inter_american_treaties_B-58_against_Corruption.pdf" TargetMode="External"/><Relationship Id="rId17" Type="http://schemas.openxmlformats.org/officeDocument/2006/relationships/hyperlink" Target="https://iris.who.int/bitstream/handle/10665/341996/9789240029200-eng.pdf?sequence=1" TargetMode="External"/><Relationship Id="rId2" Type="http://schemas.openxmlformats.org/officeDocument/2006/relationships/hyperlink" Target="https://uncaccoalition.org/systemic-integration-of-human-rights-in-anti-corruption-frameworks/" TargetMode="External"/><Relationship Id="rId16" Type="http://schemas.openxmlformats.org/officeDocument/2006/relationships/hyperlink" Target="https://www.torontodeclaration.org/declaration-text/english/" TargetMode="External"/><Relationship Id="rId1" Type="http://schemas.openxmlformats.org/officeDocument/2006/relationships/hyperlink" Target="https://uncaccoalition.org/get-involved/working-groups/human-rights-and-corruption/" TargetMode="External"/><Relationship Id="rId6" Type="http://schemas.openxmlformats.org/officeDocument/2006/relationships/hyperlink" Target="https://docs.un.org/en/A/HRC/56/62" TargetMode="External"/><Relationship Id="rId11" Type="http://schemas.openxmlformats.org/officeDocument/2006/relationships/hyperlink" Target="https://www.article19.org/wp-content/uploads/2022/12/UNCAC-Guide-FInal.pdf" TargetMode="External"/><Relationship Id="rId5" Type="http://schemas.openxmlformats.org/officeDocument/2006/relationships/hyperlink" Target="https://www.ohchr.org/en/documents/thematic-reports/ahrc4447-independence-judges-and-lawyers-report-special-rapporteur" TargetMode="External"/><Relationship Id="rId15" Type="http://schemas.openxmlformats.org/officeDocument/2006/relationships/hyperlink" Target="https://unesdoc.unesco.org/ark:/48223/pf0000381137/PDF/381137eng.pdf.multi.page=1&amp;zoom=auto,-16,842" TargetMode="External"/><Relationship Id="rId10" Type="http://schemas.openxmlformats.org/officeDocument/2006/relationships/hyperlink" Target="https://www.tc.gob.pe/jurisprudencia/2007/00009-2007-AI%2000010-2007-AI.html" TargetMode="External"/><Relationship Id="rId4" Type="http://schemas.openxmlformats.org/officeDocument/2006/relationships/hyperlink" Target="https://www.ohchr.org/en/instruments-mechanisms/instruments/basic-principles-independence-judiciary" TargetMode="External"/><Relationship Id="rId9" Type="http://schemas.openxmlformats.org/officeDocument/2006/relationships/hyperlink" Target="https://docs.un.org/en/A/64/226" TargetMode="External"/><Relationship Id="rId14" Type="http://schemas.openxmlformats.org/officeDocument/2006/relationships/hyperlink" Target="https://www.transparency.org/en/publications/addressing-corrupt-uses-of-artificial-intelligenc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uncaccoalition/Downloads/UNCAC%20Coalition%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085621834B7D43979B74154BC49213"/>
        <w:category>
          <w:name w:val="General"/>
          <w:gallery w:val="placeholder"/>
        </w:category>
        <w:types>
          <w:type w:val="bbPlcHdr"/>
        </w:types>
        <w:behaviors>
          <w:behavior w:val="content"/>
        </w:behaviors>
        <w:guid w:val="{51382640-B301-0D42-B061-5163326EBBB4}"/>
      </w:docPartPr>
      <w:docPartBody>
        <w:p w:rsidR="00043C6D" w:rsidRDefault="00000000">
          <w:pPr>
            <w:pStyle w:val="42085621834B7D43979B74154BC49213"/>
          </w:pPr>
          <w:r w:rsidRPr="00C53D2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Inter">
    <w:altName w:val="Calibri"/>
    <w:panose1 w:val="020B0604020202020204"/>
    <w:charset w:val="00"/>
    <w:family w:val="auto"/>
    <w:pitch w:val="default"/>
  </w:font>
  <w:font w:name="Lexend">
    <w:altName w:val="Calibri"/>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Source Code Pro">
    <w:panose1 w:val="020B0509030403020204"/>
    <w:charset w:val="00"/>
    <w:family w:val="modern"/>
    <w:pitch w:val="fixed"/>
    <w:sig w:usb0="200002F7" w:usb1="02003803"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B0604020202020204"/>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93"/>
    <w:rsid w:val="00043C6D"/>
    <w:rsid w:val="000D01A1"/>
    <w:rsid w:val="002F62E0"/>
    <w:rsid w:val="0036439A"/>
    <w:rsid w:val="003D5093"/>
    <w:rsid w:val="00427D5E"/>
    <w:rsid w:val="004C048D"/>
    <w:rsid w:val="004C76FA"/>
    <w:rsid w:val="00923574"/>
    <w:rsid w:val="0099222C"/>
    <w:rsid w:val="00A07633"/>
    <w:rsid w:val="00A84359"/>
    <w:rsid w:val="00CC103F"/>
    <w:rsid w:val="00DB777A"/>
    <w:rsid w:val="00EA6647"/>
    <w:rsid w:val="00F217E4"/>
    <w:rsid w:val="00FC52BA"/>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T"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42085621834B7D43979B74154BC49213">
    <w:name w:val="42085621834B7D43979B74154BC492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NCAC Coalition">
      <a:dk1>
        <a:srgbClr val="000000"/>
      </a:dk1>
      <a:lt1>
        <a:srgbClr val="FFFFFF"/>
      </a:lt1>
      <a:dk2>
        <a:srgbClr val="870034"/>
      </a:dk2>
      <a:lt2>
        <a:srgbClr val="F0EDE8"/>
      </a:lt2>
      <a:accent1>
        <a:srgbClr val="AD003D"/>
      </a:accent1>
      <a:accent2>
        <a:srgbClr val="5E3482"/>
      </a:accent2>
      <a:accent3>
        <a:srgbClr val="00639C"/>
      </a:accent3>
      <a:accent4>
        <a:srgbClr val="00A48B"/>
      </a:accent4>
      <a:accent5>
        <a:srgbClr val="0F8852"/>
      </a:accent5>
      <a:accent6>
        <a:srgbClr val="EB912D"/>
      </a:accent6>
      <a:hlink>
        <a:srgbClr val="0D5A4A"/>
      </a:hlink>
      <a:folHlink>
        <a:srgbClr val="0D5A4A"/>
      </a:folHlink>
    </a:clrScheme>
    <a:fontScheme name="UNCAC Coalition">
      <a:majorFont>
        <a:latin typeface="Lexend"/>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NewSourcePlace</b:Tag>
    <b:RefOrder>2</b:RefOrder>
  </b:Source>
  <b:Source>
    <b:Tag>Hub15</b:Tag>
    <b:SourceType>Report</b:SourceType>
    <b:Guid>{55FA7666-08F4-4CEF-9631-D8E21642403B}</b:Guid>
    <b:Title>2015 Social Media Benchmarks Report</b:Title>
    <b:Year>2015</b:Year>
    <b:Author>
      <b:Author>
        <b:Corporate>Hubspot</b:Corporate>
      </b:Author>
    </b:Author>
    <b:Publisher>Hubspot</b:Publisher>
    <b:City>Cambridge, MA</b:City>
    <b:RefOrder>1</b:RefOrder>
  </b:Source>
</b:Sources>
</file>

<file path=customXml/itemProps1.xml><?xml version="1.0" encoding="utf-8"?>
<ds:datastoreItem xmlns:ds="http://schemas.openxmlformats.org/officeDocument/2006/customXml" ds:itemID="{6F4B1456-1542-41DE-81C2-C03E8BFE3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UNCAC Coalition (1).dotx</Template>
  <TotalTime>116</TotalTime>
  <Pages>6</Pages>
  <Words>1270</Words>
  <Characters>8554</Characters>
  <Application>Microsoft Office Word</Application>
  <DocSecurity>0</DocSecurity>
  <Lines>137</Lines>
  <Paragraphs>47</Paragraphs>
  <ScaleCrop>false</ScaleCrop>
  <HeadingPairs>
    <vt:vector size="2" baseType="variant">
      <vt:variant>
        <vt:lpstr>Title</vt:lpstr>
      </vt:variant>
      <vt:variant>
        <vt:i4>1</vt:i4>
      </vt:variant>
    </vt:vector>
  </HeadingPairs>
  <TitlesOfParts>
    <vt:vector size="1" baseType="lpstr">
      <vt:lpstr>Recommendations for Integrating Human Rights into Anti-Corruption Frameworks</vt:lpstr>
    </vt:vector>
  </TitlesOfParts>
  <Company>UNCAC Coalition</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Recommendations for Integrating Human Rights into Anti-Corruption Frameworks</dc:title>
  <dc:subject/>
  <dc:creator>Miguel Rodrigues</dc:creator>
  <cp:keywords/>
  <dc:description/>
  <cp:lastModifiedBy>Isabella Moggs</cp:lastModifiedBy>
  <cp:revision>31</cp:revision>
  <dcterms:created xsi:type="dcterms:W3CDTF">2025-11-19T09:14:00Z</dcterms:created>
  <dcterms:modified xsi:type="dcterms:W3CDTF">2025-11-21T11:13:00Z</dcterms:modified>
</cp:coreProperties>
</file>