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837DC" w14:textId="5A3B8A0F" w:rsidR="0024649C" w:rsidRPr="003F4B7C" w:rsidRDefault="00000000" w:rsidP="00BC2368">
      <w:pPr>
        <w:pStyle w:val="Title"/>
        <w:spacing w:after="0"/>
        <w:jc w:val="center"/>
        <w:rPr>
          <w:b/>
          <w:bCs/>
          <w:sz w:val="28"/>
          <w:szCs w:val="28"/>
          <w:lang w:val="en-US"/>
        </w:rPr>
      </w:pPr>
      <w:sdt>
        <w:sdtPr>
          <w:rPr>
            <w:b/>
            <w:bCs/>
            <w:sz w:val="28"/>
            <w:szCs w:val="28"/>
            <w:lang w:val="en-US"/>
          </w:rPr>
          <w:alias w:val="Title"/>
          <w:tag w:val=""/>
          <w:id w:val="-887490816"/>
          <w:placeholder>
            <w:docPart w:val="42085621834B7D43979B74154BC49213"/>
          </w:placeholder>
          <w:dataBinding w:prefixMappings="xmlns:ns0='http://purl.org/dc/elements/1.1/' xmlns:ns1='http://schemas.openxmlformats.org/package/2006/metadata/core-properties' " w:xpath="/ns1:coreProperties[1]/ns0:title[1]" w:storeItemID="{6C3C8BC8-F283-45AE-878A-BAB7291924A1}"/>
          <w:text/>
        </w:sdtPr>
        <w:sdtContent>
          <w:r w:rsidR="00311C5E" w:rsidRPr="00311C5E">
            <w:rPr>
              <w:b/>
              <w:bCs/>
              <w:sz w:val="28"/>
              <w:szCs w:val="28"/>
              <w:lang w:val="en-US"/>
            </w:rPr>
            <w:t>Promoting Policy Coherence Through the Systemic Integration of International Human Rights Law</w:t>
          </w:r>
        </w:sdtContent>
      </w:sdt>
      <w:r w:rsidR="00311C5E" w:rsidRPr="00311C5E">
        <w:rPr>
          <w:rStyle w:val="FootnoteReference"/>
          <w:b/>
          <w:bCs/>
          <w:color w:val="000000" w:themeColor="text1"/>
          <w:szCs w:val="28"/>
          <w:lang w:val="en-US"/>
        </w:rPr>
        <w:footnoteReference w:id="1"/>
      </w:r>
    </w:p>
    <w:p w14:paraId="072F4047" w14:textId="77777777" w:rsidR="00BC2368" w:rsidRPr="00E43B54" w:rsidRDefault="00BC2368" w:rsidP="00BC2368">
      <w:pPr>
        <w:pStyle w:val="Subtitle"/>
        <w:spacing w:before="0" w:after="0"/>
        <w:jc w:val="center"/>
        <w:rPr>
          <w:lang w:val="en-US"/>
        </w:rPr>
      </w:pPr>
    </w:p>
    <w:p w14:paraId="2B034953" w14:textId="67E2FE50" w:rsidR="00311C5E" w:rsidRDefault="009E6CDB" w:rsidP="00BC2368">
      <w:pPr>
        <w:pStyle w:val="Subtitle"/>
        <w:spacing w:before="0" w:after="0"/>
        <w:jc w:val="center"/>
      </w:pPr>
      <w:r w:rsidRPr="009E6CDB">
        <w:t xml:space="preserve">Submission by the Global Civil Society Coalition for the UNCAC’s Working Group on Human Rights &amp; </w:t>
      </w:r>
      <w:r w:rsidR="00093627" w:rsidRPr="005D3FFF">
        <w:t>Corruption</w:t>
      </w:r>
      <w:r w:rsidR="00093627" w:rsidRPr="005D3FFF">
        <w:rPr>
          <w:rStyle w:val="FootnoteReference"/>
          <w:color w:val="000000" w:themeColor="text1"/>
        </w:rPr>
        <w:footnoteReference w:id="2"/>
      </w:r>
      <w:r w:rsidR="00093627" w:rsidRPr="005D3FFF">
        <w:t xml:space="preserve"> and</w:t>
      </w:r>
      <w:r w:rsidRPr="005D3FFF">
        <w:t xml:space="preserve"> </w:t>
      </w:r>
      <w:r w:rsidRPr="009E6CDB">
        <w:t xml:space="preserve">the Cyrus R. Vance </w:t>
      </w:r>
      <w:proofErr w:type="spellStart"/>
      <w:r w:rsidRPr="009E6CDB">
        <w:t>Center</w:t>
      </w:r>
      <w:proofErr w:type="spellEnd"/>
      <w:r w:rsidRPr="009E6CDB">
        <w:t xml:space="preserve"> for International Justice</w:t>
      </w:r>
    </w:p>
    <w:p w14:paraId="39468C1E" w14:textId="77777777" w:rsidR="009E6CDB" w:rsidRPr="009E6CDB" w:rsidRDefault="009E6CDB" w:rsidP="005D3FFF">
      <w:pPr>
        <w:spacing w:after="0"/>
      </w:pPr>
    </w:p>
    <w:p w14:paraId="37D3C9C4" w14:textId="05BBE309" w:rsidR="008D52FF" w:rsidRPr="003F4B7C" w:rsidRDefault="00311C5E" w:rsidP="00BC2368">
      <w:pPr>
        <w:pStyle w:val="Subtitle"/>
        <w:spacing w:before="0" w:after="0"/>
        <w:jc w:val="center"/>
        <w:rPr>
          <w:b/>
          <w:bCs/>
          <w:sz w:val="26"/>
          <w:szCs w:val="24"/>
          <w:lang w:val="en-US"/>
        </w:rPr>
      </w:pPr>
      <w:r>
        <w:rPr>
          <w:b/>
          <w:bCs/>
          <w:sz w:val="26"/>
          <w:szCs w:val="24"/>
          <w:lang w:val="en-US"/>
        </w:rPr>
        <w:t>2</w:t>
      </w:r>
      <w:r w:rsidR="009E6CDB">
        <w:rPr>
          <w:b/>
          <w:bCs/>
          <w:sz w:val="26"/>
          <w:szCs w:val="24"/>
          <w:lang w:val="en-US"/>
        </w:rPr>
        <w:t>1</w:t>
      </w:r>
      <w:r w:rsidR="008D52FF" w:rsidRPr="003F4B7C">
        <w:rPr>
          <w:b/>
          <w:bCs/>
          <w:sz w:val="26"/>
          <w:szCs w:val="24"/>
          <w:lang w:val="en-US"/>
        </w:rPr>
        <w:t xml:space="preserve"> </w:t>
      </w:r>
      <w:r w:rsidR="0064600C" w:rsidRPr="003F4B7C">
        <w:rPr>
          <w:b/>
          <w:bCs/>
          <w:sz w:val="26"/>
          <w:szCs w:val="24"/>
          <w:lang w:val="en-US"/>
        </w:rPr>
        <w:t>Nov</w:t>
      </w:r>
      <w:r w:rsidR="008D52FF" w:rsidRPr="003F4B7C">
        <w:rPr>
          <w:b/>
          <w:bCs/>
          <w:sz w:val="26"/>
          <w:szCs w:val="24"/>
          <w:lang w:val="en-US"/>
        </w:rPr>
        <w:t>ember 2025</w:t>
      </w:r>
    </w:p>
    <w:p w14:paraId="3CF30102" w14:textId="77777777" w:rsidR="00311C5E" w:rsidRDefault="00311C5E" w:rsidP="00551415">
      <w:pPr>
        <w:pStyle w:val="Heading2"/>
        <w:spacing w:before="0" w:after="0"/>
        <w:rPr>
          <w:rFonts w:eastAsia="Calibri" w:cs="Calibri"/>
          <w:bCs/>
          <w:color w:val="000000" w:themeColor="text1"/>
          <w:sz w:val="26"/>
          <w:szCs w:val="26"/>
          <w:lang w:val="en-US"/>
        </w:rPr>
      </w:pPr>
    </w:p>
    <w:p w14:paraId="73F13E4F" w14:textId="77777777" w:rsidR="00093627" w:rsidRPr="00093627" w:rsidRDefault="00093627" w:rsidP="00093627">
      <w:pPr>
        <w:jc w:val="both"/>
        <w:rPr>
          <w:rFonts w:asciiTheme="majorHAnsi" w:eastAsia="Inter" w:hAnsiTheme="majorHAnsi" w:cs="Inter"/>
          <w:sz w:val="26"/>
          <w:szCs w:val="26"/>
        </w:rPr>
      </w:pPr>
      <w:r w:rsidRPr="00093627">
        <w:rPr>
          <w:rFonts w:asciiTheme="majorHAnsi" w:eastAsia="Inter" w:hAnsiTheme="majorHAnsi" w:cs="Inter"/>
          <w:b/>
          <w:bCs/>
          <w:sz w:val="26"/>
          <w:szCs w:val="26"/>
        </w:rPr>
        <w:t>Introduction</w:t>
      </w:r>
    </w:p>
    <w:p w14:paraId="08F04261" w14:textId="77777777" w:rsidR="00093627" w:rsidRPr="00093627" w:rsidRDefault="00093627" w:rsidP="00093627">
      <w:pPr>
        <w:jc w:val="both"/>
        <w:rPr>
          <w:rFonts w:ascii="Inter" w:eastAsia="Inter" w:hAnsi="Inter" w:cs="Inter"/>
          <w:sz w:val="24"/>
          <w:szCs w:val="24"/>
        </w:rPr>
      </w:pPr>
      <w:r w:rsidRPr="00093627">
        <w:rPr>
          <w:rFonts w:ascii="Inter" w:eastAsia="Inter" w:hAnsi="Inter" w:cs="Inter"/>
          <w:sz w:val="24"/>
          <w:szCs w:val="24"/>
        </w:rPr>
        <w:t>Anti-corruption and human rights frameworks are mutually reinforcing. Both address structural drivers of injustice rooted in concentrated power, weak institutional checks, restricted access to information, and systemic inequality.</w:t>
      </w:r>
      <w:r w:rsidRPr="00093627">
        <w:rPr>
          <w:rFonts w:ascii="Inter" w:eastAsia="Inter" w:hAnsi="Inter" w:cs="Inter"/>
          <w:sz w:val="24"/>
          <w:szCs w:val="24"/>
          <w:vertAlign w:val="superscript"/>
        </w:rPr>
        <w:footnoteReference w:id="3"/>
      </w:r>
      <w:r w:rsidRPr="00093627">
        <w:rPr>
          <w:rFonts w:ascii="Inter" w:eastAsia="Inter" w:hAnsi="Inter" w:cs="Inter"/>
          <w:sz w:val="24"/>
          <w:szCs w:val="24"/>
        </w:rPr>
        <w:t xml:space="preserve"> A human rights-based approach strengthens anti-corruption efforts by grounding them in States’ obligations to respect, protect, and fulfil rights, prevent abuses, and ensure victims receive remedies that include restitution, rehabilitation, satisfaction, and guarantees of non-repetition.</w:t>
      </w:r>
      <w:r w:rsidRPr="00093627">
        <w:rPr>
          <w:rFonts w:ascii="Inter" w:eastAsia="Inter" w:hAnsi="Inter" w:cs="Inter"/>
          <w:sz w:val="24"/>
          <w:szCs w:val="24"/>
          <w:vertAlign w:val="superscript"/>
        </w:rPr>
        <w:footnoteReference w:id="4"/>
      </w:r>
    </w:p>
    <w:p w14:paraId="042F4973" w14:textId="77777777" w:rsid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 xml:space="preserve">This approach is essential in contexts of systemic corruption, where domestic accountability mechanisms may be captured or weakened. While anti-corruption frameworks often focus on institutional reforms, they can fall short when political and economic elites obstruct enforcement or institutions lack independence. Human rights law closes this gap by establishing that States are internationally responsible not only for corrupt acts committed by their agents but also for omissions, such as failure to prevent, investigate, or sanction corruption that results in rights violations. Human rights mechanisms also address structural </w:t>
      </w:r>
      <w:r w:rsidRPr="00093627">
        <w:rPr>
          <w:rFonts w:ascii="Inter" w:eastAsia="Inter" w:hAnsi="Inter" w:cs="Inter"/>
          <w:sz w:val="24"/>
          <w:szCs w:val="24"/>
        </w:rPr>
        <w:lastRenderedPageBreak/>
        <w:t>and institutional dimensions of corruption, drawing on well-established doctrines on State responsibility and patterns of abuse.</w:t>
      </w:r>
    </w:p>
    <w:p w14:paraId="6D611493" w14:textId="77777777" w:rsidR="00093627" w:rsidRPr="00093627" w:rsidRDefault="00093627" w:rsidP="00093627">
      <w:pPr>
        <w:spacing w:after="0"/>
        <w:jc w:val="both"/>
        <w:rPr>
          <w:rFonts w:ascii="Inter" w:eastAsia="Inter" w:hAnsi="Inter" w:cs="Inter"/>
          <w:sz w:val="24"/>
          <w:szCs w:val="24"/>
        </w:rPr>
      </w:pPr>
    </w:p>
    <w:p w14:paraId="25217BD3" w14:textId="77777777" w:rsidR="00093627" w:rsidRPr="00093627" w:rsidRDefault="00093627" w:rsidP="00093627">
      <w:pPr>
        <w:jc w:val="both"/>
        <w:rPr>
          <w:rFonts w:asciiTheme="majorHAnsi" w:eastAsia="Inter" w:hAnsiTheme="majorHAnsi" w:cs="Inter"/>
          <w:sz w:val="26"/>
          <w:szCs w:val="26"/>
        </w:rPr>
      </w:pPr>
      <w:r w:rsidRPr="00093627">
        <w:rPr>
          <w:rFonts w:asciiTheme="majorHAnsi" w:eastAsia="Inter" w:hAnsiTheme="majorHAnsi" w:cs="Inter"/>
          <w:b/>
          <w:bCs/>
          <w:sz w:val="26"/>
          <w:szCs w:val="26"/>
        </w:rPr>
        <w:t>The Added Value of Human Rights for Anti-Corruption Efforts</w:t>
      </w:r>
    </w:p>
    <w:p w14:paraId="1098063A" w14:textId="77777777" w:rsidR="00093627" w:rsidRP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Human rights law strengthens anti-corruption efforts by:</w:t>
      </w:r>
    </w:p>
    <w:p w14:paraId="333397DE" w14:textId="212AB52F" w:rsidR="00093627" w:rsidRPr="00093627" w:rsidRDefault="00093627" w:rsidP="00093627">
      <w:pPr>
        <w:pStyle w:val="ListParagraph"/>
        <w:numPr>
          <w:ilvl w:val="0"/>
          <w:numId w:val="62"/>
        </w:numPr>
        <w:spacing w:after="0"/>
        <w:jc w:val="both"/>
        <w:rPr>
          <w:rFonts w:ascii="Inter" w:eastAsia="Inter" w:hAnsi="Inter" w:cs="Inter"/>
          <w:sz w:val="24"/>
          <w:szCs w:val="24"/>
        </w:rPr>
      </w:pPr>
      <w:r w:rsidRPr="00093627">
        <w:rPr>
          <w:rFonts w:ascii="Inter" w:eastAsia="Inter" w:hAnsi="Inter" w:cs="Inter"/>
          <w:sz w:val="24"/>
          <w:szCs w:val="24"/>
        </w:rPr>
        <w:t>Clarifying State responsibility for corruption-related harms, including failure to prevent or investigate corruption and enforce relevant laws.</w:t>
      </w:r>
      <w:r w:rsidRPr="00093627">
        <w:rPr>
          <w:vertAlign w:val="superscript"/>
        </w:rPr>
        <w:footnoteReference w:id="5"/>
      </w:r>
      <w:r w:rsidRPr="00093627">
        <w:rPr>
          <w:rFonts w:ascii="Inter" w:eastAsia="Inter" w:hAnsi="Inter" w:cs="Inter"/>
          <w:sz w:val="24"/>
          <w:szCs w:val="24"/>
        </w:rPr>
        <w:t xml:space="preserve"> </w:t>
      </w:r>
    </w:p>
    <w:p w14:paraId="5D55ED59" w14:textId="77777777" w:rsidR="00093627" w:rsidRPr="00093627" w:rsidRDefault="00093627" w:rsidP="00093627">
      <w:pPr>
        <w:pStyle w:val="ListParagraph"/>
        <w:numPr>
          <w:ilvl w:val="0"/>
          <w:numId w:val="62"/>
        </w:numPr>
        <w:spacing w:after="0"/>
        <w:jc w:val="both"/>
        <w:rPr>
          <w:rFonts w:ascii="Inter" w:eastAsia="Inter" w:hAnsi="Inter" w:cs="Inter"/>
          <w:sz w:val="24"/>
          <w:szCs w:val="24"/>
        </w:rPr>
      </w:pPr>
      <w:r w:rsidRPr="00093627">
        <w:rPr>
          <w:rFonts w:ascii="Inter" w:eastAsia="Inter" w:hAnsi="Inter" w:cs="Inter"/>
          <w:sz w:val="24"/>
          <w:szCs w:val="24"/>
        </w:rPr>
        <w:t>Enhancing the effectiveness of anti-corruption measures by requiring responses to structural, systemic and individual acts of corruption that undermine rights.</w:t>
      </w:r>
    </w:p>
    <w:p w14:paraId="447F5708" w14:textId="77777777" w:rsidR="00093627" w:rsidRPr="00093627" w:rsidRDefault="00093627" w:rsidP="00093627">
      <w:pPr>
        <w:pStyle w:val="ListParagraph"/>
        <w:numPr>
          <w:ilvl w:val="0"/>
          <w:numId w:val="62"/>
        </w:numPr>
        <w:spacing w:after="0"/>
        <w:jc w:val="both"/>
        <w:rPr>
          <w:rFonts w:ascii="Inter" w:eastAsia="Inter" w:hAnsi="Inter" w:cs="Inter"/>
          <w:sz w:val="24"/>
          <w:szCs w:val="24"/>
        </w:rPr>
      </w:pPr>
      <w:r w:rsidRPr="00093627">
        <w:rPr>
          <w:rFonts w:ascii="Inter" w:eastAsia="Inter" w:hAnsi="Inter" w:cs="Inter"/>
          <w:sz w:val="24"/>
          <w:szCs w:val="24"/>
        </w:rPr>
        <w:t>Expanding accountability and access to remedies through human rights mechanisms, increasing legitimacy, participation, transparency, and inclusiveness.</w:t>
      </w:r>
      <w:r w:rsidRPr="00093627">
        <w:rPr>
          <w:vertAlign w:val="superscript"/>
        </w:rPr>
        <w:footnoteReference w:id="6"/>
      </w:r>
      <w:r w:rsidRPr="00093627">
        <w:rPr>
          <w:rFonts w:ascii="Inter" w:eastAsia="Inter" w:hAnsi="Inter" w:cs="Inter"/>
          <w:sz w:val="24"/>
          <w:szCs w:val="24"/>
        </w:rPr>
        <w:t xml:space="preserve"> </w:t>
      </w:r>
    </w:p>
    <w:p w14:paraId="643AB6BB" w14:textId="77777777" w:rsidR="00093627" w:rsidRPr="00093627" w:rsidRDefault="00093627" w:rsidP="00093627">
      <w:pPr>
        <w:pStyle w:val="ListParagraph"/>
        <w:numPr>
          <w:ilvl w:val="0"/>
          <w:numId w:val="62"/>
        </w:numPr>
        <w:spacing w:after="0"/>
        <w:jc w:val="both"/>
        <w:rPr>
          <w:rFonts w:ascii="Inter" w:eastAsia="Inter" w:hAnsi="Inter" w:cs="Inter"/>
          <w:sz w:val="24"/>
          <w:szCs w:val="24"/>
        </w:rPr>
      </w:pPr>
      <w:r w:rsidRPr="00093627">
        <w:rPr>
          <w:rFonts w:ascii="Inter" w:eastAsia="Inter" w:hAnsi="Inter" w:cs="Inter"/>
          <w:sz w:val="24"/>
          <w:szCs w:val="24"/>
        </w:rPr>
        <w:t>Reinforcing binding State obligations already assumed under human rights treaties, preventing fragmentation across international legal regimes.</w:t>
      </w:r>
    </w:p>
    <w:p w14:paraId="3B810232" w14:textId="77777777" w:rsidR="00093627" w:rsidRPr="00093627" w:rsidRDefault="00093627" w:rsidP="00093627">
      <w:pPr>
        <w:pStyle w:val="ListParagraph"/>
        <w:numPr>
          <w:ilvl w:val="0"/>
          <w:numId w:val="62"/>
        </w:numPr>
        <w:spacing w:after="0"/>
        <w:jc w:val="both"/>
        <w:rPr>
          <w:rFonts w:ascii="Inter" w:eastAsia="Inter" w:hAnsi="Inter" w:cs="Inter"/>
          <w:sz w:val="24"/>
          <w:szCs w:val="24"/>
        </w:rPr>
      </w:pPr>
      <w:r w:rsidRPr="00093627">
        <w:rPr>
          <w:rFonts w:ascii="Inter" w:eastAsia="Inter" w:hAnsi="Inter" w:cs="Inter"/>
          <w:sz w:val="24"/>
          <w:szCs w:val="24"/>
        </w:rPr>
        <w:t>Fostering coherence within the UN system, ensuring anti-corruption policies align with human rights standards.</w:t>
      </w:r>
    </w:p>
    <w:p w14:paraId="5F3DFEF8" w14:textId="77777777" w:rsidR="00093627" w:rsidRPr="00093627" w:rsidRDefault="00093627" w:rsidP="00093627">
      <w:pPr>
        <w:pStyle w:val="ListParagraph"/>
        <w:numPr>
          <w:ilvl w:val="0"/>
          <w:numId w:val="62"/>
        </w:numPr>
        <w:spacing w:after="0"/>
        <w:jc w:val="both"/>
        <w:rPr>
          <w:rFonts w:ascii="Inter" w:eastAsia="Inter" w:hAnsi="Inter" w:cs="Inter"/>
          <w:sz w:val="24"/>
          <w:szCs w:val="24"/>
        </w:rPr>
      </w:pPr>
      <w:r w:rsidRPr="00093627">
        <w:rPr>
          <w:rFonts w:ascii="Inter" w:eastAsia="Inter" w:hAnsi="Inter" w:cs="Inter"/>
          <w:sz w:val="24"/>
          <w:szCs w:val="24"/>
        </w:rPr>
        <w:t>Providing additional tools to tackle entrenched impunity, including strengthened judicial independence, transparency, and civic participation.</w:t>
      </w:r>
    </w:p>
    <w:p w14:paraId="686B62E2" w14:textId="77777777" w:rsidR="00093627" w:rsidRPr="00093627" w:rsidRDefault="00093627" w:rsidP="00093627">
      <w:pPr>
        <w:pStyle w:val="ListParagraph"/>
        <w:numPr>
          <w:ilvl w:val="0"/>
          <w:numId w:val="62"/>
        </w:numPr>
        <w:spacing w:after="0"/>
        <w:jc w:val="both"/>
        <w:rPr>
          <w:rFonts w:ascii="Inter" w:eastAsia="Inter" w:hAnsi="Inter" w:cs="Inter"/>
          <w:sz w:val="24"/>
          <w:szCs w:val="24"/>
        </w:rPr>
      </w:pPr>
      <w:r w:rsidRPr="00093627">
        <w:rPr>
          <w:rFonts w:ascii="Inter" w:eastAsia="Inter" w:hAnsi="Inter" w:cs="Inter"/>
          <w:sz w:val="24"/>
          <w:szCs w:val="24"/>
        </w:rPr>
        <w:t>Applying established doctrines on presumptions and inferences developed to address widespread violations, adapting them to contexts of large-scale corruption.</w:t>
      </w:r>
    </w:p>
    <w:p w14:paraId="7ABD5C6D" w14:textId="77777777" w:rsidR="00093627" w:rsidRPr="00093627" w:rsidRDefault="00093627" w:rsidP="00093627">
      <w:pPr>
        <w:spacing w:after="0"/>
        <w:jc w:val="both"/>
        <w:rPr>
          <w:rFonts w:ascii="Inter" w:eastAsia="Inter" w:hAnsi="Inter" w:cs="Inter"/>
          <w:sz w:val="24"/>
          <w:szCs w:val="24"/>
        </w:rPr>
      </w:pPr>
    </w:p>
    <w:p w14:paraId="4D8FCA1E" w14:textId="77777777" w:rsidR="00093627" w:rsidRPr="00093627" w:rsidRDefault="00093627" w:rsidP="00093627">
      <w:pPr>
        <w:jc w:val="both"/>
        <w:rPr>
          <w:rFonts w:asciiTheme="majorHAnsi" w:eastAsia="Inter" w:hAnsiTheme="majorHAnsi" w:cs="Inter"/>
          <w:sz w:val="26"/>
          <w:szCs w:val="26"/>
        </w:rPr>
      </w:pPr>
      <w:r w:rsidRPr="00093627">
        <w:rPr>
          <w:rFonts w:asciiTheme="majorHAnsi" w:eastAsia="Inter" w:hAnsiTheme="majorHAnsi" w:cs="Inter"/>
          <w:b/>
          <w:bCs/>
          <w:sz w:val="26"/>
          <w:szCs w:val="26"/>
        </w:rPr>
        <w:t>Legal Foundations for Systemic Integration</w:t>
      </w:r>
    </w:p>
    <w:p w14:paraId="2C263BC3" w14:textId="3217BD02" w:rsidR="00093627" w:rsidRP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Systemic integration between anti-corruption and human rights law is grounded in well-established international law principles. The Vienna Convention on the Law of Treaties (1969)</w:t>
      </w:r>
      <w:r w:rsidRPr="00093627">
        <w:rPr>
          <w:rFonts w:ascii="Inter" w:eastAsia="Inter" w:hAnsi="Inter" w:cs="Inter"/>
          <w:sz w:val="24"/>
          <w:szCs w:val="24"/>
          <w:vertAlign w:val="superscript"/>
        </w:rPr>
        <w:footnoteReference w:id="7"/>
      </w:r>
      <w:r w:rsidRPr="00093627">
        <w:rPr>
          <w:rFonts w:ascii="Inter" w:eastAsia="Inter" w:hAnsi="Inter" w:cs="Inter"/>
          <w:sz w:val="24"/>
          <w:szCs w:val="24"/>
        </w:rPr>
        <w:t xml:space="preserve"> provides key interpretive rules. Article 31(1) requires treaties to be interpreted in good faith and in light of their object and purpose, while Article 31(3)(c) requires consideration of other applicable rules of international law. Article 30 provides harmonization rules for overlapping obligations. The UN Charter</w:t>
      </w:r>
      <w:r w:rsidRPr="00093627">
        <w:rPr>
          <w:rFonts w:ascii="Inter" w:eastAsia="Inter" w:hAnsi="Inter" w:cs="Inter"/>
          <w:sz w:val="24"/>
          <w:szCs w:val="24"/>
          <w:vertAlign w:val="superscript"/>
        </w:rPr>
        <w:footnoteReference w:id="8"/>
      </w:r>
      <w:r w:rsidRPr="00093627">
        <w:rPr>
          <w:rFonts w:ascii="Inter" w:eastAsia="Inter" w:hAnsi="Inter" w:cs="Inter"/>
          <w:sz w:val="24"/>
          <w:szCs w:val="24"/>
        </w:rPr>
        <w:t xml:space="preserve">  further reinforces this. Article 1(3) identifies the promotion of human rights as a core UN purpose. Article 55(c) commits the UN to universal respect for </w:t>
      </w:r>
      <w:r w:rsidRPr="00093627">
        <w:rPr>
          <w:rFonts w:ascii="Inter" w:eastAsia="Inter" w:hAnsi="Inter" w:cs="Inter"/>
          <w:sz w:val="24"/>
          <w:szCs w:val="24"/>
        </w:rPr>
        <w:lastRenderedPageBreak/>
        <w:t xml:space="preserve">rights, and Article 103 gives Charter obligations primacy over conflicting treaties. </w:t>
      </w:r>
      <w:r w:rsidR="005D3FFF">
        <w:rPr>
          <w:rFonts w:ascii="Inter" w:eastAsia="Inter" w:hAnsi="Inter" w:cs="Inter"/>
          <w:sz w:val="24"/>
          <w:szCs w:val="24"/>
        </w:rPr>
        <w:t xml:space="preserve">The </w:t>
      </w:r>
      <w:r w:rsidRPr="00093627">
        <w:rPr>
          <w:rFonts w:ascii="Inter" w:eastAsia="Inter" w:hAnsi="Inter" w:cs="Inter"/>
          <w:sz w:val="24"/>
          <w:szCs w:val="24"/>
        </w:rPr>
        <w:t>UNCAC must therefore be interpreted consistently with human rights obligations. The UNCAC</w:t>
      </w:r>
      <w:r w:rsidRPr="00093627">
        <w:rPr>
          <w:rFonts w:ascii="Inter" w:eastAsia="Inter" w:hAnsi="Inter" w:cs="Inter"/>
          <w:sz w:val="24"/>
          <w:szCs w:val="24"/>
          <w:vertAlign w:val="superscript"/>
        </w:rPr>
        <w:footnoteReference w:id="9"/>
      </w:r>
      <w:r w:rsidR="005D3FFF">
        <w:rPr>
          <w:rFonts w:ascii="Inter" w:eastAsia="Inter" w:hAnsi="Inter" w:cs="Inter"/>
          <w:sz w:val="24"/>
          <w:szCs w:val="24"/>
        </w:rPr>
        <w:t xml:space="preserve"> </w:t>
      </w:r>
      <w:r w:rsidRPr="00093627">
        <w:rPr>
          <w:rFonts w:ascii="Inter" w:eastAsia="Inter" w:hAnsi="Inter" w:cs="Inter"/>
          <w:sz w:val="24"/>
          <w:szCs w:val="24"/>
          <w:vertAlign w:val="superscript"/>
        </w:rPr>
        <w:footnoteReference w:id="10"/>
      </w:r>
      <w:r w:rsidRPr="00093627">
        <w:rPr>
          <w:rFonts w:ascii="Inter" w:eastAsia="Inter" w:hAnsi="Inter" w:cs="Inter"/>
          <w:sz w:val="24"/>
          <w:szCs w:val="24"/>
        </w:rPr>
        <w:t xml:space="preserve"> itself anticipates integration. Its preamble recognizes that corruption undermines democratic institutions and justice, concepts central to human rights. Several UNCAC provisions intersect directly with human rights, including: Article 5 on preventive measures, </w:t>
      </w:r>
      <w:r w:rsidR="005D3FFF">
        <w:rPr>
          <w:rFonts w:ascii="Inter" w:eastAsia="Inter" w:hAnsi="Inter" w:cs="Inter"/>
          <w:sz w:val="24"/>
          <w:szCs w:val="24"/>
        </w:rPr>
        <w:t>A</w:t>
      </w:r>
      <w:r w:rsidRPr="00093627">
        <w:rPr>
          <w:rFonts w:ascii="Inter" w:eastAsia="Inter" w:hAnsi="Inter" w:cs="Inter"/>
          <w:sz w:val="24"/>
          <w:szCs w:val="24"/>
        </w:rPr>
        <w:t>rticle 13 on civil society participation, Article 32 on witness protection, Article 33 on protection of reporting persons, and Articles 34 and 35 on consequences of corruption and compensation.</w:t>
      </w:r>
    </w:p>
    <w:p w14:paraId="4742F9B2" w14:textId="77777777" w:rsidR="00093627" w:rsidRPr="00093627" w:rsidRDefault="00093627" w:rsidP="005D3FFF">
      <w:pPr>
        <w:spacing w:before="240"/>
        <w:jc w:val="both"/>
        <w:rPr>
          <w:rFonts w:ascii="Inter" w:eastAsia="Inter" w:hAnsi="Inter" w:cs="Inter"/>
          <w:sz w:val="24"/>
          <w:szCs w:val="24"/>
        </w:rPr>
      </w:pPr>
      <w:r w:rsidRPr="00093627">
        <w:rPr>
          <w:rFonts w:ascii="Inter" w:eastAsia="Inter" w:hAnsi="Inter" w:cs="Inter"/>
          <w:sz w:val="24"/>
          <w:szCs w:val="24"/>
        </w:rPr>
        <w:t>The practice of the General Assembly (GA), Human Rights Council (HRC), and human rights treaty bodies also reflects recognition of the links between corruption and rights violations. Numerous GA</w:t>
      </w:r>
      <w:r w:rsidRPr="00093627">
        <w:rPr>
          <w:rFonts w:ascii="Inter" w:eastAsia="Inter" w:hAnsi="Inter" w:cs="Inter"/>
          <w:sz w:val="24"/>
          <w:szCs w:val="24"/>
          <w:vertAlign w:val="superscript"/>
        </w:rPr>
        <w:footnoteReference w:id="11"/>
      </w:r>
      <w:r w:rsidRPr="00093627">
        <w:rPr>
          <w:rFonts w:ascii="Inter" w:eastAsia="Inter" w:hAnsi="Inter" w:cs="Inter"/>
          <w:sz w:val="24"/>
          <w:szCs w:val="24"/>
        </w:rPr>
        <w:t xml:space="preserve"> and HRC resolutions</w:t>
      </w:r>
      <w:r w:rsidRPr="00093627">
        <w:rPr>
          <w:rFonts w:ascii="Inter" w:eastAsia="Inter" w:hAnsi="Inter" w:cs="Inter"/>
          <w:sz w:val="24"/>
          <w:szCs w:val="24"/>
          <w:vertAlign w:val="superscript"/>
        </w:rPr>
        <w:footnoteReference w:id="12"/>
      </w:r>
      <w:r w:rsidRPr="00093627">
        <w:rPr>
          <w:rFonts w:ascii="Inter" w:eastAsia="Inter" w:hAnsi="Inter" w:cs="Inter"/>
          <w:sz w:val="24"/>
          <w:szCs w:val="24"/>
        </w:rPr>
        <w:t xml:space="preserve"> underline that corruption undermines human rights and emphasise transparency, accountability, and civic participation as essential safeguards.</w:t>
      </w:r>
    </w:p>
    <w:p w14:paraId="6F71F31C" w14:textId="3AC20473" w:rsid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When UNCAC and human rights obligations are implemented in isolation, risks arise: narrow interpretations may ignore existing human rights duties, creating gaps in protection. Anti-corruption measures may unintentionally restrict civic space, undermine due process, or reduce institutional safeguards. Fragmented implementation weakens regimes and legitimacy, undermining coherence. Systemic integration, by contrast, fosters legitimacy and enhances both accountability and the effectiveness of anti-corruption work.</w:t>
      </w:r>
    </w:p>
    <w:p w14:paraId="2038E730" w14:textId="77777777" w:rsidR="00093627" w:rsidRPr="00093627" w:rsidRDefault="00093627" w:rsidP="00093627">
      <w:pPr>
        <w:spacing w:after="0"/>
        <w:jc w:val="both"/>
        <w:rPr>
          <w:rFonts w:ascii="Inter" w:eastAsia="Inter" w:hAnsi="Inter" w:cs="Inter"/>
          <w:sz w:val="24"/>
          <w:szCs w:val="24"/>
        </w:rPr>
      </w:pPr>
    </w:p>
    <w:p w14:paraId="01886406" w14:textId="77777777" w:rsidR="00093627" w:rsidRPr="00093627" w:rsidRDefault="00093627" w:rsidP="00093627">
      <w:pPr>
        <w:jc w:val="both"/>
        <w:rPr>
          <w:rFonts w:asciiTheme="majorHAnsi" w:eastAsia="Inter" w:hAnsiTheme="majorHAnsi" w:cs="Inter"/>
          <w:b/>
          <w:bCs/>
          <w:sz w:val="26"/>
          <w:szCs w:val="26"/>
        </w:rPr>
      </w:pPr>
      <w:bookmarkStart w:id="0" w:name="_7hy0y1jklv3n" w:colFirst="0" w:colLast="0"/>
      <w:bookmarkEnd w:id="0"/>
      <w:r w:rsidRPr="00093627">
        <w:rPr>
          <w:rFonts w:asciiTheme="majorHAnsi" w:eastAsia="Inter" w:hAnsiTheme="majorHAnsi" w:cs="Inter"/>
          <w:b/>
          <w:bCs/>
          <w:sz w:val="26"/>
          <w:szCs w:val="26"/>
        </w:rPr>
        <w:t>Emerging Case Law on the Convergence of Anti-Corruption and Human Rights Obligations</w:t>
      </w:r>
    </w:p>
    <w:p w14:paraId="6871EE67" w14:textId="77777777" w:rsidR="00093627" w:rsidRPr="00093627" w:rsidRDefault="00093627" w:rsidP="00093627">
      <w:pPr>
        <w:jc w:val="both"/>
        <w:rPr>
          <w:rFonts w:ascii="Inter" w:eastAsia="Inter" w:hAnsi="Inter" w:cs="Inter"/>
          <w:sz w:val="24"/>
          <w:szCs w:val="24"/>
        </w:rPr>
      </w:pPr>
      <w:r w:rsidRPr="00093627">
        <w:rPr>
          <w:rFonts w:ascii="Inter" w:eastAsia="Inter" w:hAnsi="Inter" w:cs="Inter"/>
          <w:sz w:val="24"/>
          <w:szCs w:val="24"/>
        </w:rPr>
        <w:t>An emerging body of jurisprudence shows that courts, both national and regional, are increasingly interpreting corruption-related disputes through the lens of international human rights law. This trend demonstrates that, even in the absence of a dedicated UNCAC tribunal, judicial bodies are giving normative effect to UNCAC provisions by integrating them into human rights adjudication. This reinforces systemic coherence and validates the need for the interpretive approach outlined above.</w:t>
      </w:r>
    </w:p>
    <w:p w14:paraId="75D3D668" w14:textId="77777777" w:rsidR="00093627" w:rsidRPr="00093627" w:rsidRDefault="00093627" w:rsidP="00093627">
      <w:pPr>
        <w:jc w:val="both"/>
        <w:rPr>
          <w:rFonts w:ascii="Inter" w:eastAsia="Inter" w:hAnsi="Inter" w:cs="Inter"/>
          <w:sz w:val="24"/>
          <w:szCs w:val="24"/>
        </w:rPr>
      </w:pPr>
      <w:r w:rsidRPr="00093627">
        <w:rPr>
          <w:rFonts w:ascii="Inter" w:eastAsia="Inter" w:hAnsi="Inter" w:cs="Inter"/>
          <w:sz w:val="24"/>
          <w:szCs w:val="24"/>
        </w:rPr>
        <w:t>National courts have applied UNCAC as a complementary framework when examining rights such as equality, due process, access to information, and participation in public affairs. For example, a national supreme court linked the right to equality in public employment (ICCPR Article 25) with UNCAC Article 7, highlighting the obligation to ensure objective, transparent, and merit-based recruitment criteria.</w:t>
      </w:r>
      <w:r w:rsidRPr="00093627">
        <w:rPr>
          <w:rFonts w:ascii="Inter" w:eastAsia="Inter" w:hAnsi="Inter" w:cs="Inter"/>
          <w:sz w:val="24"/>
          <w:szCs w:val="24"/>
          <w:vertAlign w:val="superscript"/>
        </w:rPr>
        <w:footnoteReference w:id="13"/>
      </w:r>
    </w:p>
    <w:p w14:paraId="5AD55C26" w14:textId="77777777" w:rsidR="00093627" w:rsidRPr="00093627" w:rsidRDefault="00093627" w:rsidP="00093627">
      <w:pPr>
        <w:jc w:val="both"/>
        <w:rPr>
          <w:rFonts w:ascii="Inter" w:eastAsia="Inter" w:hAnsi="Inter" w:cs="Inter"/>
          <w:sz w:val="24"/>
          <w:szCs w:val="24"/>
        </w:rPr>
      </w:pPr>
      <w:r w:rsidRPr="00093627">
        <w:rPr>
          <w:rFonts w:ascii="Inter" w:eastAsia="Inter" w:hAnsi="Inter" w:cs="Inter"/>
          <w:sz w:val="24"/>
          <w:szCs w:val="24"/>
        </w:rPr>
        <w:t>Regional human rights courts have also begun to reference UNCAC to clarify States’ duties in corruption-related contexts. The European Court of Human Rights, for instance, drew on UNCAC Article 7(3) in a case involving political party financing, underscoring that accountability measures must comply with the principles of legality and foreseeability in order to safeguard political rights. These cross-references confirm that corruption-related obligations are being absorbed into the broader human rights framework.</w:t>
      </w:r>
      <w:r w:rsidRPr="00093627">
        <w:rPr>
          <w:rFonts w:ascii="Inter" w:eastAsia="Inter" w:hAnsi="Inter" w:cs="Inter"/>
          <w:sz w:val="24"/>
          <w:szCs w:val="24"/>
          <w:vertAlign w:val="superscript"/>
        </w:rPr>
        <w:footnoteReference w:id="14"/>
      </w:r>
    </w:p>
    <w:p w14:paraId="463D0E1F" w14:textId="77777777" w:rsid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Together, these developments illustrate a growing judicial practice: courts are treating anti-corruption and human rights norms as mutually reinforcing rather than separate regimes. This practice not only strengthens legal coherence but also provides a pathway for integrating UNCAC obligations into national and regional adjudication systems, thereby enhancing the protection of rights in contexts affected by corruption.</w:t>
      </w:r>
    </w:p>
    <w:p w14:paraId="4C63B21C" w14:textId="77777777" w:rsidR="00093627" w:rsidRPr="00093627" w:rsidRDefault="00093627" w:rsidP="00093627">
      <w:pPr>
        <w:spacing w:after="0"/>
        <w:jc w:val="both"/>
        <w:rPr>
          <w:rFonts w:ascii="Inter" w:eastAsia="Inter" w:hAnsi="Inter" w:cs="Inter"/>
          <w:b/>
          <w:bCs/>
          <w:sz w:val="24"/>
          <w:szCs w:val="24"/>
        </w:rPr>
      </w:pPr>
    </w:p>
    <w:p w14:paraId="2F539FD1" w14:textId="77777777" w:rsidR="00093627" w:rsidRPr="00093627" w:rsidRDefault="00093627" w:rsidP="00093627">
      <w:pPr>
        <w:jc w:val="both"/>
        <w:rPr>
          <w:rFonts w:asciiTheme="majorHAnsi" w:eastAsia="Inter" w:hAnsiTheme="majorHAnsi" w:cs="Inter"/>
          <w:b/>
          <w:bCs/>
          <w:sz w:val="26"/>
          <w:szCs w:val="26"/>
        </w:rPr>
      </w:pPr>
      <w:r w:rsidRPr="00093627">
        <w:rPr>
          <w:rFonts w:asciiTheme="majorHAnsi" w:eastAsia="Inter" w:hAnsiTheme="majorHAnsi" w:cs="Inter"/>
          <w:b/>
          <w:bCs/>
          <w:sz w:val="26"/>
          <w:szCs w:val="26"/>
        </w:rPr>
        <w:t>From Integration to Implementation</w:t>
      </w:r>
    </w:p>
    <w:p w14:paraId="3626E5A0" w14:textId="77777777" w:rsidR="00093627" w:rsidRPr="00093627" w:rsidRDefault="00093627" w:rsidP="00093627">
      <w:pPr>
        <w:jc w:val="both"/>
        <w:rPr>
          <w:rFonts w:ascii="Inter" w:eastAsia="Inter" w:hAnsi="Inter" w:cs="Inter"/>
          <w:sz w:val="24"/>
          <w:szCs w:val="24"/>
        </w:rPr>
      </w:pPr>
      <w:r w:rsidRPr="00093627">
        <w:rPr>
          <w:rFonts w:ascii="Inter" w:eastAsia="Inter" w:hAnsi="Inter" w:cs="Inter"/>
          <w:sz w:val="24"/>
          <w:szCs w:val="24"/>
        </w:rPr>
        <w:t xml:space="preserve">Systemic integration must translate into implementation and legal procedural practice. This means embedding human rights standards not only in legal frameworks but also in institutional mandates, monitoring, and enforcement practices. To make integration effective </w:t>
      </w:r>
      <w:r w:rsidRPr="00093627">
        <w:rPr>
          <w:rFonts w:ascii="Inter" w:eastAsia="Inter" w:hAnsi="Inter" w:cs="Inter"/>
          <w:sz w:val="24"/>
          <w:szCs w:val="24"/>
        </w:rPr>
        <w:lastRenderedPageBreak/>
        <w:t>at the national level, States should incorporate human rights into legislation, administrative regulations, judicial training, and oversight mechanisms related to corruption. Internationally, treaty bodies, peer review systems, and CoSP resolutions should operationalise cross-referencing with human rights obligations.</w:t>
      </w:r>
    </w:p>
    <w:p w14:paraId="0D43F6A8" w14:textId="77777777" w:rsidR="00093627" w:rsidRP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Examples of integrated implementation include:</w:t>
      </w:r>
    </w:p>
    <w:p w14:paraId="035A421C" w14:textId="431E492C" w:rsidR="00093627" w:rsidRPr="00093627" w:rsidRDefault="00093627" w:rsidP="00093627">
      <w:pPr>
        <w:spacing w:after="0"/>
        <w:ind w:left="720"/>
        <w:jc w:val="both"/>
        <w:rPr>
          <w:rFonts w:ascii="Inter" w:eastAsia="Inter" w:hAnsi="Inter" w:cs="Inter"/>
          <w:sz w:val="24"/>
          <w:szCs w:val="24"/>
        </w:rPr>
      </w:pPr>
      <w:r w:rsidRPr="00093627">
        <w:rPr>
          <w:rFonts w:ascii="Inter" w:eastAsia="Inter" w:hAnsi="Inter" w:cs="Inter"/>
          <w:sz w:val="24"/>
          <w:szCs w:val="24"/>
        </w:rPr>
        <w:t>a) Establishing legal frameworks that protect whistleblowers against retaliation is both an anti-corruption and a human rights obligation.  An integrating process would ensure that whistleblower protection policies include measures to safeguard the rights to freedom of expression and access to justice.</w:t>
      </w:r>
    </w:p>
    <w:p w14:paraId="38A6CCB1" w14:textId="163CDA6F" w:rsidR="00093627" w:rsidRPr="00093627" w:rsidRDefault="00093627" w:rsidP="00093627">
      <w:pPr>
        <w:spacing w:after="0"/>
        <w:ind w:left="720"/>
        <w:jc w:val="both"/>
        <w:rPr>
          <w:rFonts w:ascii="Inter" w:eastAsia="Inter" w:hAnsi="Inter" w:cs="Inter"/>
          <w:sz w:val="24"/>
          <w:szCs w:val="24"/>
        </w:rPr>
      </w:pPr>
      <w:r w:rsidRPr="00093627">
        <w:rPr>
          <w:rFonts w:ascii="Inter" w:eastAsia="Inter" w:hAnsi="Inter" w:cs="Inter"/>
          <w:sz w:val="24"/>
          <w:szCs w:val="24"/>
        </w:rPr>
        <w:t>b) Ensuring that those whose human rights are affected by corruption are recognised as victims, have legal standing and access to remedies</w:t>
      </w:r>
      <w:r>
        <w:rPr>
          <w:rFonts w:ascii="Inter" w:eastAsia="Inter" w:hAnsi="Inter" w:cs="Inter"/>
          <w:sz w:val="24"/>
          <w:szCs w:val="24"/>
        </w:rPr>
        <w:t xml:space="preserve">. </w:t>
      </w:r>
      <w:r w:rsidRPr="00093627">
        <w:rPr>
          <w:rFonts w:ascii="Inter" w:eastAsia="Inter" w:hAnsi="Inter" w:cs="Inter"/>
          <w:sz w:val="24"/>
          <w:szCs w:val="24"/>
        </w:rPr>
        <w:t xml:space="preserve">Mechanisms such as collective legal standing or reparations programmes rooted in human rights principles would enhance the implementation of UNCAC Articles 34 and 35. </w:t>
      </w:r>
    </w:p>
    <w:p w14:paraId="141C71F6" w14:textId="77777777" w:rsidR="00093627" w:rsidRDefault="00093627" w:rsidP="00093627">
      <w:pPr>
        <w:spacing w:after="0"/>
        <w:jc w:val="both"/>
        <w:rPr>
          <w:rFonts w:ascii="Inter" w:eastAsia="Inter" w:hAnsi="Inter" w:cs="Inter"/>
          <w:b/>
          <w:bCs/>
          <w:sz w:val="24"/>
          <w:szCs w:val="24"/>
        </w:rPr>
      </w:pPr>
    </w:p>
    <w:p w14:paraId="720775B1" w14:textId="69FFC459" w:rsidR="00093627" w:rsidRPr="00093627" w:rsidRDefault="00093627" w:rsidP="00093627">
      <w:pPr>
        <w:jc w:val="both"/>
        <w:rPr>
          <w:rFonts w:asciiTheme="majorHAnsi" w:eastAsia="Inter" w:hAnsiTheme="majorHAnsi" w:cs="Inter"/>
          <w:b/>
          <w:bCs/>
          <w:sz w:val="26"/>
          <w:szCs w:val="26"/>
        </w:rPr>
      </w:pPr>
      <w:r w:rsidRPr="00093627">
        <w:rPr>
          <w:rFonts w:asciiTheme="majorHAnsi" w:eastAsia="Inter" w:hAnsiTheme="majorHAnsi" w:cs="Inter"/>
          <w:b/>
          <w:bCs/>
          <w:sz w:val="26"/>
          <w:szCs w:val="26"/>
        </w:rPr>
        <w:t>Recommendations</w:t>
      </w:r>
    </w:p>
    <w:p w14:paraId="233B0DE0" w14:textId="77777777" w:rsidR="00093627" w:rsidRP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To strengthen policy coherence, States Parties should:</w:t>
      </w:r>
    </w:p>
    <w:p w14:paraId="2B90068B" w14:textId="77777777" w:rsidR="00093627" w:rsidRPr="00093627" w:rsidRDefault="00093627" w:rsidP="00093627">
      <w:pPr>
        <w:numPr>
          <w:ilvl w:val="0"/>
          <w:numId w:val="61"/>
        </w:numPr>
        <w:spacing w:after="0"/>
        <w:jc w:val="both"/>
        <w:rPr>
          <w:rFonts w:ascii="Inter" w:eastAsia="Inter" w:hAnsi="Inter" w:cs="Inter"/>
          <w:sz w:val="24"/>
          <w:szCs w:val="24"/>
        </w:rPr>
      </w:pPr>
      <w:r w:rsidRPr="00093627">
        <w:rPr>
          <w:rFonts w:ascii="Inter" w:eastAsia="Inter" w:hAnsi="Inter" w:cs="Inter"/>
          <w:sz w:val="24"/>
          <w:szCs w:val="24"/>
        </w:rPr>
        <w:t>Include language in CoSP11 resolutions that recalls or reaffirms relevant human rights law and Human Rights Council and General Assembly resolutions.</w:t>
      </w:r>
    </w:p>
    <w:p w14:paraId="4F57D6DD" w14:textId="77777777" w:rsidR="00093627" w:rsidRPr="00093627" w:rsidRDefault="00093627" w:rsidP="00093627">
      <w:pPr>
        <w:numPr>
          <w:ilvl w:val="0"/>
          <w:numId w:val="61"/>
        </w:numPr>
        <w:spacing w:after="0"/>
        <w:jc w:val="both"/>
        <w:rPr>
          <w:rFonts w:ascii="Inter" w:eastAsia="Inter" w:hAnsi="Inter" w:cs="Inter"/>
          <w:sz w:val="24"/>
          <w:szCs w:val="24"/>
        </w:rPr>
      </w:pPr>
      <w:r w:rsidRPr="00093627">
        <w:rPr>
          <w:rFonts w:ascii="Inter" w:eastAsia="Inter" w:hAnsi="Inter" w:cs="Inter"/>
          <w:sz w:val="24"/>
          <w:szCs w:val="24"/>
        </w:rPr>
        <w:t>Systematically integrate human rights principles into national anticorruption policies, particularly regarding due process, access to justice, civic participation, freedom of expression, association, peaceful assembly, whistleblower protection, and effective remedies for victims.</w:t>
      </w:r>
    </w:p>
    <w:p w14:paraId="77DACA5A" w14:textId="77777777" w:rsidR="00093627" w:rsidRPr="00093627" w:rsidRDefault="00093627" w:rsidP="00093627">
      <w:pPr>
        <w:numPr>
          <w:ilvl w:val="0"/>
          <w:numId w:val="61"/>
        </w:numPr>
        <w:spacing w:after="0"/>
        <w:jc w:val="both"/>
        <w:rPr>
          <w:rFonts w:ascii="Inter" w:eastAsia="Inter" w:hAnsi="Inter" w:cs="Inter"/>
          <w:sz w:val="24"/>
          <w:szCs w:val="24"/>
        </w:rPr>
      </w:pPr>
      <w:r w:rsidRPr="00093627">
        <w:rPr>
          <w:rFonts w:ascii="Inter" w:eastAsia="Inter" w:hAnsi="Inter" w:cs="Inter"/>
          <w:sz w:val="24"/>
          <w:szCs w:val="24"/>
        </w:rPr>
        <w:t>Align anti-corruption measures with human rights obligations, ensuring consistency and resilience across legal frameworks.</w:t>
      </w:r>
    </w:p>
    <w:p w14:paraId="1F91D862" w14:textId="77777777" w:rsidR="00093627" w:rsidRPr="00093627" w:rsidRDefault="00093627" w:rsidP="00093627">
      <w:pPr>
        <w:numPr>
          <w:ilvl w:val="0"/>
          <w:numId w:val="61"/>
        </w:numPr>
        <w:spacing w:after="0"/>
        <w:jc w:val="both"/>
        <w:rPr>
          <w:rFonts w:ascii="Inter" w:eastAsia="Inter" w:hAnsi="Inter" w:cs="Inter"/>
          <w:sz w:val="24"/>
          <w:szCs w:val="24"/>
        </w:rPr>
      </w:pPr>
      <w:r w:rsidRPr="00093627">
        <w:rPr>
          <w:rFonts w:ascii="Inter" w:eastAsia="Inter" w:hAnsi="Inter" w:cs="Inter"/>
          <w:sz w:val="24"/>
          <w:szCs w:val="24"/>
        </w:rPr>
        <w:t>Mainstream systemic integration into capacity-building and technical assistance, ensuring UNODC and partners design programmes that explicitly link UNCAC with human rights standards.</w:t>
      </w:r>
    </w:p>
    <w:p w14:paraId="3926DA7B" w14:textId="77777777" w:rsidR="00093627" w:rsidRPr="00093627" w:rsidRDefault="00093627" w:rsidP="00093627">
      <w:pPr>
        <w:numPr>
          <w:ilvl w:val="0"/>
          <w:numId w:val="61"/>
        </w:numPr>
        <w:jc w:val="both"/>
        <w:rPr>
          <w:rFonts w:ascii="Inter" w:eastAsia="Inter" w:hAnsi="Inter" w:cs="Inter"/>
          <w:sz w:val="24"/>
          <w:szCs w:val="24"/>
        </w:rPr>
      </w:pPr>
      <w:r w:rsidRPr="00093627">
        <w:rPr>
          <w:rFonts w:ascii="Inter" w:eastAsia="Inter" w:hAnsi="Inter" w:cs="Inter"/>
          <w:sz w:val="24"/>
          <w:szCs w:val="24"/>
        </w:rPr>
        <w:t>Reinforce coherence through monitoring and documentation, including the use of human rights–based indicators within the Implementation Review Mechanism to assess States’ efforts to prevent, investigate, and remedy corruption.</w:t>
      </w:r>
    </w:p>
    <w:p w14:paraId="229860F9" w14:textId="77777777" w:rsidR="00093627" w:rsidRPr="00093627" w:rsidRDefault="00093627" w:rsidP="00093627">
      <w:pPr>
        <w:spacing w:after="0"/>
        <w:jc w:val="both"/>
        <w:rPr>
          <w:rFonts w:ascii="Inter" w:eastAsia="Inter" w:hAnsi="Inter" w:cs="Inter"/>
          <w:sz w:val="24"/>
          <w:szCs w:val="24"/>
        </w:rPr>
      </w:pPr>
      <w:r w:rsidRPr="00093627">
        <w:rPr>
          <w:rFonts w:ascii="Inter" w:eastAsia="Inter" w:hAnsi="Inter" w:cs="Inter"/>
          <w:sz w:val="24"/>
          <w:szCs w:val="24"/>
        </w:rPr>
        <w:t>Embedding human rights into UNCAC implementation strengthens governance, prevents impunity, and enhances accountability. Integrating anti-corruption efforts within the broader international legal system reinforces their legitimacy and ensures reforms deliver meaningful, sustainable improvements for individuals and communities most affected by corruption.</w:t>
      </w:r>
    </w:p>
    <w:p w14:paraId="6639E5BB" w14:textId="5A99F17C" w:rsidR="0064600C" w:rsidRPr="00093627" w:rsidRDefault="0064600C" w:rsidP="004C120F">
      <w:pPr>
        <w:spacing w:after="0"/>
        <w:jc w:val="both"/>
        <w:rPr>
          <w:rFonts w:ascii="Inter" w:eastAsia="Inter" w:hAnsi="Inter" w:cs="Inter"/>
          <w:sz w:val="24"/>
          <w:szCs w:val="24"/>
          <w:lang w:val="en-AT"/>
        </w:rPr>
      </w:pPr>
    </w:p>
    <w:sectPr w:rsidR="0064600C" w:rsidRPr="00093627" w:rsidSect="00BC2368">
      <w:headerReference w:type="default" r:id="rId8"/>
      <w:footerReference w:type="default" r:id="rId9"/>
      <w:headerReference w:type="first" r:id="rId10"/>
      <w:footerReference w:type="first" r:id="rId11"/>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8AA54" w14:textId="77777777" w:rsidR="00677987" w:rsidRDefault="00677987" w:rsidP="00F04F4E">
      <w:pPr>
        <w:spacing w:after="0"/>
      </w:pPr>
      <w:r>
        <w:separator/>
      </w:r>
    </w:p>
  </w:endnote>
  <w:endnote w:type="continuationSeparator" w:id="0">
    <w:p w14:paraId="096461C4" w14:textId="77777777" w:rsidR="00677987" w:rsidRDefault="00677987" w:rsidP="00F04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CFCEE125-7804-9445-88F8-684591ED8BD5}"/>
  </w:font>
  <w:font w:name="Times New Roman">
    <w:panose1 w:val="02020603050405020304"/>
    <w:charset w:val="00"/>
    <w:family w:val="roman"/>
    <w:pitch w:val="variable"/>
    <w:sig w:usb0="E0002EFF" w:usb1="C000785B" w:usb2="00000009" w:usb3="00000000" w:csb0="000001FF" w:csb1="00000000"/>
    <w:embedRegular r:id="rId2" w:fontKey="{2816E32D-70DF-794B-9431-6AB17BEFF501}"/>
    <w:embedBold r:id="rId3" w:fontKey="{C80B4269-FB06-3848-8C81-7BBFC5293CBD}"/>
    <w:embedItalic r:id="rId4" w:fontKey="{CC12BDEF-68B2-3A43-AF28-10450F00F733}"/>
  </w:font>
  <w:font w:name="Courier New">
    <w:panose1 w:val="02070309020205020404"/>
    <w:charset w:val="00"/>
    <w:family w:val="modern"/>
    <w:pitch w:val="fixed"/>
    <w:sig w:usb0="E0002AFF" w:usb1="C0007843" w:usb2="00000009" w:usb3="00000000" w:csb0="000001FF" w:csb1="00000000"/>
    <w:embedRegular r:id="rId5" w:fontKey="{9FDF09B3-E815-6A4F-A701-971E13A5939C}"/>
  </w:font>
  <w:font w:name="Wingdings">
    <w:panose1 w:val="05000000000000000000"/>
    <w:charset w:val="4D"/>
    <w:family w:val="decorative"/>
    <w:pitch w:val="variable"/>
    <w:sig w:usb0="00000003" w:usb1="00000000" w:usb2="00000000" w:usb3="00000000" w:csb0="80000001" w:csb1="00000000"/>
    <w:embedRegular r:id="rId6" w:fontKey="{D9EF74E2-4912-C346-95EC-87817540AA86}"/>
  </w:font>
  <w:font w:name="Calibri">
    <w:panose1 w:val="020F0502020204030204"/>
    <w:charset w:val="00"/>
    <w:family w:val="swiss"/>
    <w:pitch w:val="variable"/>
    <w:sig w:usb0="E0002AFF" w:usb1="C000247B" w:usb2="00000009" w:usb3="00000000" w:csb0="000001FF" w:csb1="00000000"/>
    <w:embedBold r:id="rId7" w:fontKey="{F339B262-153D-514F-A900-95F37952CE3D}"/>
  </w:font>
  <w:font w:name="Noto Sans">
    <w:panose1 w:val="020B0502040504020204"/>
    <w:charset w:val="00"/>
    <w:family w:val="swiss"/>
    <w:pitch w:val="variable"/>
    <w:sig w:usb0="E00082FF" w:usb1="400078FF" w:usb2="00000021" w:usb3="00000000" w:csb0="0000019F" w:csb1="00000000"/>
    <w:embedRegular r:id="rId8" w:fontKey="{99FAC664-EA12-6C4A-838E-1FB7BC41A38A}"/>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5" w:fontKey="{93D54FB7-D9D4-194A-A6CD-E5F74E4AB284}"/>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embedRegular r:id="rId16" w:fontKey="{C1F4087F-3470-3746-BAE8-E5C23CBF6E44}"/>
  </w:font>
  <w:font w:name="Tahoma">
    <w:panose1 w:val="020B0604030504040204"/>
    <w:charset w:val="00"/>
    <w:family w:val="swiss"/>
    <w:pitch w:val="variable"/>
    <w:sig w:usb0="E1002EFF" w:usb1="C000605B" w:usb2="00000029" w:usb3="00000000" w:csb0="000101FF" w:csb1="00000000"/>
    <w:embedRegular r:id="rId17" w:fontKey="{A11AA837-D13A-874D-9721-781675B93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C06" w14:textId="77777777" w:rsidR="0074030F" w:rsidRPr="00CE4209" w:rsidRDefault="00CE4209" w:rsidP="00CE4209">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sidR="00155435">
      <w:rPr>
        <w:rStyle w:val="PageNumber"/>
        <w:noProof/>
      </w:rPr>
      <w:t>1</w:t>
    </w:r>
    <w:r w:rsidRPr="00CE420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7D9" w14:textId="77777777" w:rsidR="00D7094D" w:rsidRDefault="00D7094D" w:rsidP="00D7094D">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Pr>
        <w:rStyle w:val="PageNumber"/>
      </w:rPr>
      <w:t>2</w:t>
    </w:r>
    <w:r w:rsidRPr="00CE420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8C9E8" w14:textId="77777777" w:rsidR="00677987" w:rsidRDefault="00677987" w:rsidP="00F04F4E">
      <w:pPr>
        <w:spacing w:after="0"/>
      </w:pPr>
      <w:r>
        <w:separator/>
      </w:r>
    </w:p>
  </w:footnote>
  <w:footnote w:type="continuationSeparator" w:id="0">
    <w:p w14:paraId="19D0C6F4" w14:textId="77777777" w:rsidR="00677987" w:rsidRDefault="00677987" w:rsidP="00F04F4E">
      <w:pPr>
        <w:spacing w:after="0"/>
      </w:pPr>
      <w:r>
        <w:continuationSeparator/>
      </w:r>
    </w:p>
  </w:footnote>
  <w:footnote w:id="1">
    <w:p w14:paraId="0311FC20" w14:textId="77777777" w:rsidR="00093627" w:rsidRDefault="00311C5E" w:rsidP="00311C5E">
      <w:pPr>
        <w:pStyle w:val="FootnoteText"/>
        <w:spacing w:line="240" w:lineRule="auto"/>
        <w:rPr>
          <w:color w:val="000000" w:themeColor="text1"/>
          <w:sz w:val="20"/>
          <w:szCs w:val="20"/>
        </w:rPr>
      </w:pPr>
      <w:r w:rsidRPr="00311C5E">
        <w:rPr>
          <w:rStyle w:val="FootnoteReference"/>
          <w:color w:val="000000" w:themeColor="text1"/>
          <w:szCs w:val="20"/>
        </w:rPr>
        <w:footnoteRef/>
      </w:r>
      <w:r w:rsidRPr="00311C5E">
        <w:rPr>
          <w:color w:val="000000" w:themeColor="text1"/>
          <w:sz w:val="20"/>
          <w:szCs w:val="20"/>
        </w:rPr>
        <w:t xml:space="preserve"> </w:t>
      </w:r>
      <w:r w:rsidR="00093627" w:rsidRPr="00093627">
        <w:rPr>
          <w:color w:val="000000" w:themeColor="text1"/>
          <w:sz w:val="20"/>
          <w:szCs w:val="20"/>
        </w:rPr>
        <w:t xml:space="preserve">UNCAC Coalition. “Systemic Integration of Human Rights in Anti-Corruption Frameworks: A Policy Guide,” </w:t>
      </w:r>
    </w:p>
    <w:p w14:paraId="3ABBF54A" w14:textId="77777777" w:rsidR="00093627" w:rsidRDefault="00093627" w:rsidP="00311C5E">
      <w:pPr>
        <w:pStyle w:val="FootnoteText"/>
        <w:spacing w:line="240" w:lineRule="auto"/>
        <w:rPr>
          <w:color w:val="000000" w:themeColor="text1"/>
          <w:sz w:val="20"/>
          <w:szCs w:val="20"/>
        </w:rPr>
      </w:pPr>
      <w:r w:rsidRPr="00093627">
        <w:rPr>
          <w:color w:val="000000" w:themeColor="text1"/>
          <w:sz w:val="20"/>
          <w:szCs w:val="20"/>
        </w:rPr>
        <w:t xml:space="preserve">accessed on 21 November 2025. </w:t>
      </w:r>
    </w:p>
    <w:p w14:paraId="369DD9A7" w14:textId="7871CD0F" w:rsidR="00311C5E" w:rsidRPr="00093627" w:rsidRDefault="00093627" w:rsidP="00311C5E">
      <w:pPr>
        <w:pStyle w:val="FootnoteText"/>
        <w:spacing w:line="240" w:lineRule="auto"/>
        <w:rPr>
          <w:color w:val="000000" w:themeColor="text1"/>
          <w:sz w:val="20"/>
          <w:szCs w:val="20"/>
          <w:u w:val="single"/>
          <w:lang w:val="en-AT"/>
        </w:rPr>
      </w:pPr>
      <w:hyperlink r:id="rId1" w:history="1">
        <w:r w:rsidRPr="00093627">
          <w:rPr>
            <w:rStyle w:val="Hyperlink"/>
            <w:sz w:val="20"/>
            <w:szCs w:val="20"/>
            <w:u w:val="single"/>
          </w:rPr>
          <w:t>https://uncaccoalition.org/systemic-integration-of-human-rights-in-anti-corruption-frameworks/</w:t>
        </w:r>
      </w:hyperlink>
      <w:r w:rsidRPr="00093627">
        <w:rPr>
          <w:color w:val="000000" w:themeColor="text1"/>
          <w:sz w:val="20"/>
          <w:szCs w:val="20"/>
          <w:u w:val="single"/>
        </w:rPr>
        <w:t>.</w:t>
      </w:r>
    </w:p>
  </w:footnote>
  <w:footnote w:id="2">
    <w:p w14:paraId="0A4334A8" w14:textId="12D5972F" w:rsidR="00093627" w:rsidRPr="00093627" w:rsidRDefault="00093627" w:rsidP="00093627">
      <w:pPr>
        <w:spacing w:after="0" w:line="240" w:lineRule="auto"/>
        <w:rPr>
          <w:szCs w:val="20"/>
        </w:rPr>
      </w:pPr>
      <w:r w:rsidRPr="00093627">
        <w:rPr>
          <w:rStyle w:val="FootnoteReference"/>
          <w:color w:val="000000" w:themeColor="text1"/>
        </w:rPr>
        <w:footnoteRef/>
      </w:r>
      <w:r w:rsidRPr="00093627">
        <w:rPr>
          <w:color w:val="000000" w:themeColor="text1"/>
        </w:rPr>
        <w:t xml:space="preserve"> </w:t>
      </w:r>
      <w:r w:rsidRPr="00093627">
        <w:rPr>
          <w:color w:val="000000" w:themeColor="text1"/>
          <w:szCs w:val="20"/>
        </w:rPr>
        <w:t xml:space="preserve">The </w:t>
      </w:r>
      <w:r>
        <w:rPr>
          <w:szCs w:val="20"/>
        </w:rPr>
        <w:t>Global Civil Society Coalition for the UNCAC’s Working Group on Human Rights and Corruption comprises almost 240 members, from civil society organizations, activists, academia and other stakeholders. This</w:t>
      </w:r>
      <w:r>
        <w:rPr>
          <w:szCs w:val="20"/>
          <w:highlight w:val="white"/>
        </w:rPr>
        <w:t xml:space="preserve"> platform serves to foster discussions, exchange knowledge, and share experiences among experts on human rights and corruption. Additionally, the Working Group provides a space for the coordination of advocacy efforts and the advancement of international and regional laws and policies in this regard. UNCAC Coalition. “Human Rights and Corruption,” accessed 20 November 2025. </w:t>
      </w:r>
      <w:hyperlink r:id="rId2">
        <w:r>
          <w:rPr>
            <w:color w:val="1155CC"/>
            <w:szCs w:val="20"/>
            <w:highlight w:val="white"/>
            <w:u w:val="single"/>
          </w:rPr>
          <w:t>https://uncaccoalition.org/get-involved/working-groups/human-rights-and-corruption/</w:t>
        </w:r>
      </w:hyperlink>
      <w:r>
        <w:rPr>
          <w:szCs w:val="20"/>
          <w:highlight w:val="white"/>
        </w:rPr>
        <w:t xml:space="preserve">. </w:t>
      </w:r>
    </w:p>
  </w:footnote>
  <w:footnote w:id="3">
    <w:p w14:paraId="4ACD0474" w14:textId="5F75D6D6" w:rsidR="00093627" w:rsidRDefault="00093627" w:rsidP="00093627">
      <w:pPr>
        <w:spacing w:after="0" w:line="240" w:lineRule="auto"/>
        <w:rPr>
          <w:szCs w:val="20"/>
        </w:rPr>
      </w:pPr>
      <w:r>
        <w:rPr>
          <w:vertAlign w:val="superscript"/>
        </w:rPr>
        <w:footnoteRef/>
      </w:r>
      <w:r>
        <w:rPr>
          <w:szCs w:val="20"/>
        </w:rPr>
        <w:t xml:space="preserve"> Betina Pasteknik, Isabella Moggs and Nicoletta Za</w:t>
      </w:r>
      <w:r w:rsidR="003A2277">
        <w:rPr>
          <w:szCs w:val="20"/>
        </w:rPr>
        <w:t>p</w:t>
      </w:r>
      <w:r>
        <w:rPr>
          <w:szCs w:val="20"/>
        </w:rPr>
        <w:t xml:space="preserve">pile, “Bridging Anti-Corruption and Human Rights Efforts: A Guide for Anti-Corruption Advocates to Engage in the Universal Periodic Review,” UPR Info and Global Civil Society Coalition for the UNCAC, 2025. </w:t>
      </w:r>
      <w:hyperlink r:id="rId3">
        <w:r>
          <w:rPr>
            <w:color w:val="1155CC"/>
            <w:szCs w:val="20"/>
            <w:u w:val="single"/>
          </w:rPr>
          <w:t>https://uncaccoalition.org/bridging-anti-corruption-and-human-rights-efforts-a-guide-for-anti-corruption-advocates-to-engage-in-the-universal-periodic-review-process/</w:t>
        </w:r>
      </w:hyperlink>
      <w:r>
        <w:rPr>
          <w:szCs w:val="20"/>
        </w:rPr>
        <w:t xml:space="preserve">. </w:t>
      </w:r>
    </w:p>
  </w:footnote>
  <w:footnote w:id="4">
    <w:p w14:paraId="3630A15F" w14:textId="035780ED" w:rsidR="00093627" w:rsidRDefault="00093627" w:rsidP="00093627">
      <w:pPr>
        <w:spacing w:line="240" w:lineRule="auto"/>
        <w:rPr>
          <w:szCs w:val="20"/>
          <w:highlight w:val="yellow"/>
        </w:rPr>
      </w:pPr>
      <w:r>
        <w:rPr>
          <w:vertAlign w:val="superscript"/>
        </w:rPr>
        <w:footnoteRef/>
      </w:r>
      <w:r w:rsidR="00D32FDE">
        <w:rPr>
          <w:szCs w:val="20"/>
        </w:rPr>
        <w:t xml:space="preserve"> </w:t>
      </w:r>
      <w:r>
        <w:rPr>
          <w:szCs w:val="20"/>
        </w:rPr>
        <w:t xml:space="preserve">International Commission of Jurists. “Background information concerning the right to remedy and reparation,” UN Mechanisms (2002). </w:t>
      </w:r>
      <w:hyperlink r:id="rId4">
        <w:r>
          <w:rPr>
            <w:color w:val="1155CC"/>
            <w:szCs w:val="20"/>
            <w:u w:val="single"/>
          </w:rPr>
          <w:t>https://w</w:t>
        </w:r>
        <w:r>
          <w:rPr>
            <w:color w:val="1155CC"/>
            <w:szCs w:val="20"/>
            <w:u w:val="single"/>
          </w:rPr>
          <w:t>w</w:t>
        </w:r>
        <w:r>
          <w:rPr>
            <w:color w:val="1155CC"/>
            <w:szCs w:val="20"/>
            <w:u w:val="single"/>
          </w:rPr>
          <w:t>w.icj.org/resource/background-information-concerning-the-right-to-remedy-and-reparation/</w:t>
        </w:r>
      </w:hyperlink>
      <w:r>
        <w:rPr>
          <w:szCs w:val="20"/>
        </w:rPr>
        <w:t xml:space="preserve">; </w:t>
      </w:r>
    </w:p>
  </w:footnote>
  <w:footnote w:id="5">
    <w:p w14:paraId="02AB7B14" w14:textId="77777777" w:rsidR="00093627" w:rsidRDefault="00093627" w:rsidP="00093627">
      <w:pPr>
        <w:spacing w:after="0" w:line="240" w:lineRule="auto"/>
        <w:rPr>
          <w:szCs w:val="20"/>
        </w:rPr>
      </w:pPr>
      <w:r>
        <w:rPr>
          <w:vertAlign w:val="superscript"/>
        </w:rPr>
        <w:footnoteRef/>
      </w:r>
      <w:r>
        <w:rPr>
          <w:szCs w:val="20"/>
        </w:rPr>
        <w:t xml:space="preserve"> U4 Anti-Corruption Resource Centre. “Basic guide to corruption and human rights,” 2025. </w:t>
      </w:r>
      <w:hyperlink r:id="rId5">
        <w:r>
          <w:rPr>
            <w:color w:val="1155CC"/>
            <w:szCs w:val="20"/>
            <w:u w:val="single"/>
          </w:rPr>
          <w:t>https://www.u4.no/topics/human-rights/basics</w:t>
        </w:r>
      </w:hyperlink>
      <w:r>
        <w:rPr>
          <w:szCs w:val="20"/>
        </w:rPr>
        <w:t xml:space="preserve">. </w:t>
      </w:r>
    </w:p>
  </w:footnote>
  <w:footnote w:id="6">
    <w:p w14:paraId="079D5F46" w14:textId="77777777" w:rsidR="00093627" w:rsidRDefault="00093627" w:rsidP="00093627">
      <w:pPr>
        <w:spacing w:after="0" w:line="240" w:lineRule="auto"/>
        <w:rPr>
          <w:szCs w:val="20"/>
        </w:rPr>
      </w:pPr>
      <w:r>
        <w:rPr>
          <w:vertAlign w:val="superscript"/>
        </w:rPr>
        <w:footnoteRef/>
      </w:r>
      <w:r>
        <w:rPr>
          <w:szCs w:val="20"/>
        </w:rPr>
        <w:t xml:space="preserve"> U4 Anti-Corruption Resource Centre. “Basic guide to corruption and human rights,” 2025. </w:t>
      </w:r>
      <w:hyperlink r:id="rId6">
        <w:r>
          <w:rPr>
            <w:color w:val="1155CC"/>
            <w:szCs w:val="20"/>
            <w:u w:val="single"/>
          </w:rPr>
          <w:t>https://www.u4.no/topics/human-rights/basics</w:t>
        </w:r>
      </w:hyperlink>
      <w:r>
        <w:rPr>
          <w:szCs w:val="20"/>
        </w:rPr>
        <w:t xml:space="preserve">. </w:t>
      </w:r>
    </w:p>
  </w:footnote>
  <w:footnote w:id="7">
    <w:p w14:paraId="3B5CABF7" w14:textId="77777777" w:rsidR="00093627" w:rsidRDefault="00093627" w:rsidP="00093627">
      <w:pPr>
        <w:spacing w:after="0" w:line="240" w:lineRule="auto"/>
      </w:pPr>
      <w:r>
        <w:rPr>
          <w:vertAlign w:val="superscript"/>
        </w:rPr>
        <w:footnoteRef/>
      </w:r>
      <w:r>
        <w:rPr>
          <w:szCs w:val="20"/>
        </w:rPr>
        <w:t xml:space="preserve"> Articles 30 and 31 of “Vienna Convention on the Law of Treaties,” done at Vienna on 23 May 1969, entered into force on 27 January 1980, United Nations Treaty Series no.1155: 331, </w:t>
      </w:r>
      <w:hyperlink r:id="rId7">
        <w:r>
          <w:rPr>
            <w:color w:val="1155CC"/>
            <w:szCs w:val="20"/>
            <w:u w:val="single"/>
          </w:rPr>
          <w:t>https://legal.un.org/ilc/texts/instruments/english/conventions/1_1_1969.pdf</w:t>
        </w:r>
      </w:hyperlink>
      <w:r>
        <w:rPr>
          <w:szCs w:val="20"/>
        </w:rPr>
        <w:t xml:space="preserve">. </w:t>
      </w:r>
    </w:p>
  </w:footnote>
  <w:footnote w:id="8">
    <w:p w14:paraId="6D3E01A7" w14:textId="77777777" w:rsidR="00093627" w:rsidRDefault="00093627" w:rsidP="00093627">
      <w:pPr>
        <w:spacing w:after="0" w:line="240" w:lineRule="auto"/>
      </w:pPr>
      <w:r>
        <w:rPr>
          <w:vertAlign w:val="superscript"/>
        </w:rPr>
        <w:footnoteRef/>
      </w:r>
      <w:r>
        <w:rPr>
          <w:szCs w:val="20"/>
        </w:rPr>
        <w:t xml:space="preserve"> Articles 1(3), 55(c), 103 of the “United Nations Charter,” 24 October 1945, United Nations, </w:t>
      </w:r>
      <w:hyperlink r:id="rId8">
        <w:r>
          <w:rPr>
            <w:color w:val="1155CC"/>
            <w:szCs w:val="20"/>
            <w:u w:val="single"/>
          </w:rPr>
          <w:t>https://www.un.org/en/about-us/un-charter</w:t>
        </w:r>
      </w:hyperlink>
      <w:r>
        <w:rPr>
          <w:szCs w:val="20"/>
        </w:rPr>
        <w:t xml:space="preserve">. </w:t>
      </w:r>
    </w:p>
  </w:footnote>
  <w:footnote w:id="9">
    <w:p w14:paraId="7ED259E7" w14:textId="02214EB8" w:rsidR="00093627" w:rsidRDefault="00093627" w:rsidP="00093627">
      <w:pPr>
        <w:spacing w:after="0" w:line="240" w:lineRule="auto"/>
      </w:pPr>
      <w:r>
        <w:rPr>
          <w:vertAlign w:val="superscript"/>
        </w:rPr>
        <w:footnoteRef/>
      </w:r>
      <w:r>
        <w:rPr>
          <w:szCs w:val="20"/>
        </w:rPr>
        <w:t xml:space="preserve"> </w:t>
      </w:r>
      <w:r w:rsidR="00D32FDE">
        <w:rPr>
          <w:szCs w:val="20"/>
        </w:rPr>
        <w:t>“</w:t>
      </w:r>
      <w:r>
        <w:rPr>
          <w:szCs w:val="20"/>
        </w:rPr>
        <w:t xml:space="preserve">United Nations Convention Against Corruption,” United Nations, New York, 2004, </w:t>
      </w:r>
      <w:hyperlink r:id="rId9">
        <w:r>
          <w:rPr>
            <w:color w:val="1155CC"/>
            <w:szCs w:val="20"/>
            <w:u w:val="single"/>
          </w:rPr>
          <w:t>https://www.unodc.org/documents/brussels/UN_Convention_Against_Corruption.pdf</w:t>
        </w:r>
      </w:hyperlink>
      <w:r>
        <w:rPr>
          <w:szCs w:val="20"/>
        </w:rPr>
        <w:t>.</w:t>
      </w:r>
    </w:p>
  </w:footnote>
  <w:footnote w:id="10">
    <w:p w14:paraId="66CFE4E2" w14:textId="52D5A3D0" w:rsidR="00093627" w:rsidRDefault="00093627" w:rsidP="00093627">
      <w:pPr>
        <w:spacing w:after="0" w:line="240" w:lineRule="auto"/>
        <w:rPr>
          <w:szCs w:val="20"/>
        </w:rPr>
      </w:pPr>
      <w:r>
        <w:rPr>
          <w:vertAlign w:val="superscript"/>
        </w:rPr>
        <w:footnoteRef/>
      </w:r>
      <w:r>
        <w:rPr>
          <w:szCs w:val="20"/>
        </w:rPr>
        <w:t xml:space="preserve"> Betina Pasteknik, Isabella Moggs and Nicoletta Za</w:t>
      </w:r>
      <w:r w:rsidR="00D32FDE">
        <w:rPr>
          <w:szCs w:val="20"/>
        </w:rPr>
        <w:t>p</w:t>
      </w:r>
      <w:r>
        <w:rPr>
          <w:szCs w:val="20"/>
        </w:rPr>
        <w:t xml:space="preserve">pile, “Bridging Anti-Corruption and Human Rights Efforts: A Guide for Anti-Corruption Advocates to Engage in the Universal Periodic Review,” UPR Info and Global Civil Society Coalition for the UNCAC, 2025. </w:t>
      </w:r>
      <w:hyperlink r:id="rId10">
        <w:r>
          <w:rPr>
            <w:color w:val="1155CC"/>
            <w:szCs w:val="20"/>
            <w:u w:val="single"/>
          </w:rPr>
          <w:t>https://uncaccoalition.org/bridging-anti-corruption-and-human-rights-efforts-a-guide-for-anti-corruption-advocates-to-engage-in-the-universal-periodic-review-process/</w:t>
        </w:r>
      </w:hyperlink>
      <w:r>
        <w:rPr>
          <w:szCs w:val="20"/>
        </w:rPr>
        <w:t xml:space="preserve">. </w:t>
      </w:r>
    </w:p>
  </w:footnote>
  <w:footnote w:id="11">
    <w:p w14:paraId="508C9694" w14:textId="77777777" w:rsidR="00093627" w:rsidRDefault="00093627" w:rsidP="00093627">
      <w:pPr>
        <w:spacing w:after="0" w:line="240" w:lineRule="auto"/>
        <w:rPr>
          <w:szCs w:val="20"/>
        </w:rPr>
      </w:pPr>
      <w:r>
        <w:rPr>
          <w:vertAlign w:val="superscript"/>
        </w:rPr>
        <w:footnoteRef/>
      </w:r>
      <w:r>
        <w:rPr>
          <w:sz w:val="18"/>
          <w:szCs w:val="18"/>
        </w:rPr>
        <w:t xml:space="preserve"> </w:t>
      </w:r>
      <w:r>
        <w:rPr>
          <w:szCs w:val="20"/>
        </w:rPr>
        <w:t xml:space="preserve">United Nations General Assembly. “Our common commitment to effectively addressing challenges and implementing measures to prevent and combat corruption and strengthen international cooperation,” A/RES/S-32/1, June 7 2021. </w:t>
      </w:r>
      <w:hyperlink r:id="rId11">
        <w:r>
          <w:rPr>
            <w:color w:val="1155CC"/>
            <w:szCs w:val="20"/>
            <w:u w:val="single"/>
          </w:rPr>
          <w:t>https://docs.un.org/en/A/RES/s-32/1</w:t>
        </w:r>
      </w:hyperlink>
      <w:r>
        <w:rPr>
          <w:szCs w:val="20"/>
        </w:rPr>
        <w:t xml:space="preserve">; United Nations General Assembly. “Resolution adopted by the General Assembly on 16 December 2021,” A/RES/76/181, 11 January 2022. </w:t>
      </w:r>
      <w:hyperlink r:id="rId12">
        <w:r>
          <w:rPr>
            <w:color w:val="1155CC"/>
            <w:szCs w:val="20"/>
            <w:u w:val="single"/>
          </w:rPr>
          <w:t>https://docs.un.org/en/A/RES/76/181</w:t>
        </w:r>
      </w:hyperlink>
      <w:r>
        <w:rPr>
          <w:szCs w:val="20"/>
        </w:rPr>
        <w:t>.</w:t>
      </w:r>
    </w:p>
  </w:footnote>
  <w:footnote w:id="12">
    <w:p w14:paraId="3C799BDC" w14:textId="77777777" w:rsidR="00093627" w:rsidRDefault="00093627" w:rsidP="00093627">
      <w:pPr>
        <w:spacing w:line="240" w:lineRule="auto"/>
        <w:rPr>
          <w:szCs w:val="20"/>
        </w:rPr>
      </w:pPr>
      <w:r>
        <w:rPr>
          <w:vertAlign w:val="superscript"/>
        </w:rPr>
        <w:footnoteRef/>
      </w:r>
      <w:r>
        <w:rPr>
          <w:szCs w:val="20"/>
        </w:rPr>
        <w:t xml:space="preserve"> UN</w:t>
      </w:r>
      <w:r>
        <w:t xml:space="preserve"> </w:t>
      </w:r>
      <w:r>
        <w:rPr>
          <w:szCs w:val="20"/>
        </w:rPr>
        <w:t xml:space="preserve">Human Rights Council. “The negative impact of the non-repatriation of funds of illicit origin to the countries of origin on the enjoyment of human rights, and the importance of improving international cooperation: Resolution adopted by the Human Rights Council on 23 March 2021,” A/HRC/RES/46/11, 26 March 2021. </w:t>
      </w:r>
      <w:hyperlink r:id="rId13">
        <w:r>
          <w:rPr>
            <w:color w:val="1155CC"/>
            <w:szCs w:val="20"/>
            <w:u w:val="single"/>
          </w:rPr>
          <w:t>https://docs.un.org/en/A/HRC/res/46/11</w:t>
        </w:r>
      </w:hyperlink>
      <w:r>
        <w:t xml:space="preserve">; </w:t>
      </w:r>
      <w:r>
        <w:rPr>
          <w:szCs w:val="20"/>
        </w:rPr>
        <w:t xml:space="preserve">UN Human Rights Council. “The negative impact of corruption on the enjoyment of human rights: resolution adopted by the Human Rights Council on 12 July 2021,” A/HRC/RES/47/7, 26 July 2021. </w:t>
      </w:r>
      <w:hyperlink r:id="rId14">
        <w:r>
          <w:rPr>
            <w:color w:val="1155CC"/>
            <w:szCs w:val="20"/>
            <w:u w:val="single"/>
          </w:rPr>
          <w:t>https://docs.un.org/en/A/HRC/RES/47/7</w:t>
        </w:r>
      </w:hyperlink>
      <w:r>
        <w:rPr>
          <w:szCs w:val="20"/>
        </w:rPr>
        <w:t>; UN Human Rights Council. “</w:t>
      </w:r>
      <w:r>
        <w:rPr>
          <w:color w:val="111827"/>
          <w:szCs w:val="20"/>
        </w:rPr>
        <w:t xml:space="preserve">The negative impact of corruption on the enjoyment of human rights: resolution adopted by the Human Rights Council on 11 July 2019,” </w:t>
      </w:r>
      <w:r>
        <w:rPr>
          <w:szCs w:val="20"/>
        </w:rPr>
        <w:t xml:space="preserve">A/HRC/RES/41/9, 18 July 2019. </w:t>
      </w:r>
      <w:hyperlink r:id="rId15">
        <w:r>
          <w:rPr>
            <w:color w:val="1155CC"/>
            <w:szCs w:val="20"/>
            <w:u w:val="single"/>
          </w:rPr>
          <w:t>https://documents-dds-ny.un.org/doc/UNDOC/GEN/G19/214/60/PDF/G1921460.pdf</w:t>
        </w:r>
      </w:hyperlink>
      <w:r>
        <w:rPr>
          <w:szCs w:val="20"/>
        </w:rPr>
        <w:t xml:space="preserve">; UN Human Rights Council. “The negative impact on the enjoyment of human rights: resolution adopted by the Human Rights Council on 13 June 2013,” A/HRC/RES/23/9, 20 June 2013. </w:t>
      </w:r>
      <w:hyperlink r:id="rId16">
        <w:r>
          <w:rPr>
            <w:color w:val="1155CC"/>
            <w:szCs w:val="20"/>
            <w:u w:val="single"/>
          </w:rPr>
          <w:t>https://docs.un.org/en/A/HRC/RES/23/9</w:t>
        </w:r>
      </w:hyperlink>
      <w:r>
        <w:rPr>
          <w:szCs w:val="20"/>
        </w:rPr>
        <w:t xml:space="preserve">; UN Human Rights Council. “The negative impact of corruption on the enjoyment of human rights: resolution adopted by the Human Rights Council on 2 July 2015,” A/HRC/RES/29/11, 22 July 2015. </w:t>
      </w:r>
      <w:hyperlink r:id="rId17">
        <w:r>
          <w:rPr>
            <w:color w:val="1155CC"/>
            <w:szCs w:val="20"/>
            <w:u w:val="single"/>
          </w:rPr>
          <w:t>https://digitallibrary.un.org/record/802805?ln=en&amp;v=pdf</w:t>
        </w:r>
      </w:hyperlink>
      <w:r>
        <w:rPr>
          <w:szCs w:val="20"/>
        </w:rPr>
        <w:t xml:space="preserve">; Human Rights Committee. “General Comment No. 32 (2007) on Article 14 ICCPR, Access to Justice and Fair Trial,” CCPR/C/GC/32, 23 August 2007. </w:t>
      </w:r>
      <w:hyperlink r:id="rId18">
        <w:r>
          <w:rPr>
            <w:color w:val="1155CC"/>
            <w:szCs w:val="20"/>
            <w:u w:val="single"/>
          </w:rPr>
          <w:t>https://undocs.org/CCPR/C/GC/32</w:t>
        </w:r>
      </w:hyperlink>
      <w:r>
        <w:rPr>
          <w:szCs w:val="20"/>
        </w:rPr>
        <w:t>.</w:t>
      </w:r>
    </w:p>
  </w:footnote>
  <w:footnote w:id="13">
    <w:p w14:paraId="2E37BC1A" w14:textId="0D523D22" w:rsidR="00093627" w:rsidRDefault="00093627" w:rsidP="00093627">
      <w:pPr>
        <w:spacing w:after="0" w:line="240" w:lineRule="auto"/>
        <w:rPr>
          <w:szCs w:val="20"/>
        </w:rPr>
      </w:pPr>
      <w:r>
        <w:rPr>
          <w:vertAlign w:val="superscript"/>
        </w:rPr>
        <w:footnoteRef/>
      </w:r>
      <w:r w:rsidR="005D3FFF">
        <w:rPr>
          <w:szCs w:val="20"/>
        </w:rPr>
        <w:t xml:space="preserve"> </w:t>
      </w:r>
      <w:r>
        <w:rPr>
          <w:szCs w:val="20"/>
        </w:rPr>
        <w:t xml:space="preserve">Corte </w:t>
      </w:r>
      <w:proofErr w:type="spellStart"/>
      <w:r>
        <w:rPr>
          <w:szCs w:val="20"/>
        </w:rPr>
        <w:t>Constitucional</w:t>
      </w:r>
      <w:proofErr w:type="spellEnd"/>
      <w:r>
        <w:rPr>
          <w:szCs w:val="20"/>
        </w:rPr>
        <w:t xml:space="preserve"> de Colombia. “</w:t>
      </w:r>
      <w:proofErr w:type="spellStart"/>
      <w:r>
        <w:rPr>
          <w:szCs w:val="20"/>
        </w:rPr>
        <w:t>Sentencia</w:t>
      </w:r>
      <w:proofErr w:type="spellEnd"/>
      <w:r>
        <w:rPr>
          <w:szCs w:val="20"/>
        </w:rPr>
        <w:t xml:space="preserve"> C-077/21 (Cosa </w:t>
      </w:r>
      <w:proofErr w:type="spellStart"/>
      <w:r>
        <w:rPr>
          <w:szCs w:val="20"/>
        </w:rPr>
        <w:t>juzgada</w:t>
      </w:r>
      <w:proofErr w:type="spellEnd"/>
      <w:r>
        <w:rPr>
          <w:szCs w:val="20"/>
        </w:rPr>
        <w:t xml:space="preserve"> </w:t>
      </w:r>
      <w:proofErr w:type="spellStart"/>
      <w:r>
        <w:rPr>
          <w:szCs w:val="20"/>
        </w:rPr>
        <w:t>constitucional</w:t>
      </w:r>
      <w:proofErr w:type="spellEnd"/>
      <w:r>
        <w:rPr>
          <w:szCs w:val="20"/>
        </w:rPr>
        <w:t xml:space="preserve"> – </w:t>
      </w:r>
      <w:proofErr w:type="spellStart"/>
      <w:r>
        <w:rPr>
          <w:szCs w:val="20"/>
        </w:rPr>
        <w:t>Elementos</w:t>
      </w:r>
      <w:proofErr w:type="spellEnd"/>
      <w:r>
        <w:rPr>
          <w:szCs w:val="20"/>
        </w:rPr>
        <w:t xml:space="preserve">),” 19 </w:t>
      </w:r>
      <w:proofErr w:type="spellStart"/>
      <w:r>
        <w:rPr>
          <w:szCs w:val="20"/>
        </w:rPr>
        <w:t>julio</w:t>
      </w:r>
      <w:proofErr w:type="spellEnd"/>
      <w:r>
        <w:rPr>
          <w:szCs w:val="20"/>
        </w:rPr>
        <w:t xml:space="preserve"> 2021. </w:t>
      </w:r>
      <w:hyperlink r:id="rId19">
        <w:r>
          <w:rPr>
            <w:color w:val="1155CC"/>
            <w:szCs w:val="20"/>
            <w:u w:val="single"/>
          </w:rPr>
          <w:t>https://www.corteconstitucional.gov.co/relatoria/2021/C-077-21.htm.</w:t>
        </w:r>
      </w:hyperlink>
      <w:r>
        <w:rPr>
          <w:szCs w:val="20"/>
        </w:rPr>
        <w:t xml:space="preserve"> </w:t>
      </w:r>
    </w:p>
  </w:footnote>
  <w:footnote w:id="14">
    <w:p w14:paraId="2B37FBDA" w14:textId="6775D9EF" w:rsidR="00093627" w:rsidRDefault="00093627" w:rsidP="00093627">
      <w:pPr>
        <w:spacing w:after="0" w:line="240" w:lineRule="auto"/>
        <w:rPr>
          <w:szCs w:val="20"/>
        </w:rPr>
      </w:pPr>
      <w:r>
        <w:rPr>
          <w:vertAlign w:val="superscript"/>
        </w:rPr>
        <w:footnoteRef/>
      </w:r>
      <w:r w:rsidR="005D3FFF">
        <w:rPr>
          <w:szCs w:val="20"/>
        </w:rPr>
        <w:t xml:space="preserve"> </w:t>
      </w:r>
      <w:r>
        <w:rPr>
          <w:szCs w:val="20"/>
        </w:rPr>
        <w:t>European Court of Human Rights. “Case of Cumhuriyet Halk Partisi v. Turkey, Judgment (Merits and Just Satisfaction),</w:t>
      </w:r>
      <w:r w:rsidR="00D32FDE">
        <w:rPr>
          <w:szCs w:val="20"/>
        </w:rPr>
        <w:t>”</w:t>
      </w:r>
      <w:r>
        <w:rPr>
          <w:szCs w:val="20"/>
        </w:rPr>
        <w:t xml:space="preserve"> </w:t>
      </w:r>
      <w:r w:rsidR="00D32FDE">
        <w:rPr>
          <w:szCs w:val="20"/>
        </w:rPr>
        <w:t xml:space="preserve">App. No. </w:t>
      </w:r>
      <w:r w:rsidR="00D32FDE">
        <w:rPr>
          <w:szCs w:val="20"/>
        </w:rPr>
        <w:t>19920/13</w:t>
      </w:r>
      <w:r w:rsidR="00D32FDE">
        <w:rPr>
          <w:szCs w:val="20"/>
        </w:rPr>
        <w:t xml:space="preserve">, </w:t>
      </w:r>
      <w:r>
        <w:rPr>
          <w:szCs w:val="20"/>
        </w:rPr>
        <w:t xml:space="preserve">26 April 2016. </w:t>
      </w:r>
      <w:hyperlink r:id="rId20">
        <w:r>
          <w:rPr>
            <w:color w:val="1155CC"/>
            <w:szCs w:val="20"/>
            <w:u w:val="single"/>
          </w:rPr>
          <w:t>https://hudoc.echr.coe.int/eng?i=001-162211</w:t>
        </w:r>
      </w:hyperlink>
      <w:r>
        <w:rPr>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E2D" w14:textId="473D0556" w:rsidR="00D7094D" w:rsidRDefault="00000000">
    <w:pPr>
      <w:pStyle w:val="Header"/>
    </w:pPr>
    <w:sdt>
      <w:sdtPr>
        <w:alias w:val="Title"/>
        <w:tag w:val=""/>
        <w:id w:val="-1611743474"/>
        <w:dataBinding w:prefixMappings="xmlns:ns0='http://purl.org/dc/elements/1.1/' xmlns:ns1='http://schemas.openxmlformats.org/package/2006/metadata/core-properties' " w:xpath="/ns1:coreProperties[1]/ns0:title[1]" w:storeItemID="{6C3C8BC8-F283-45AE-878A-BAB7291924A1}"/>
        <w:text/>
      </w:sdtPr>
      <w:sdtContent>
        <w:r w:rsidR="00311C5E">
          <w:t>Promoting Policy Coherence Through the Systemic Integration of International Human Rights Law</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9106" w14:textId="62343442" w:rsidR="00BC2368" w:rsidRDefault="00093627" w:rsidP="00D7094D">
    <w:r>
      <w:rPr>
        <w:noProof/>
        <w14:ligatures w14:val="none"/>
        <w14:numForm w14:val="default"/>
        <w14:numSpacing w14:val="default"/>
        <w14:cntxtAlts w14:val="0"/>
      </w:rPr>
      <w:drawing>
        <wp:anchor distT="0" distB="0" distL="114300" distR="114300" simplePos="0" relativeHeight="251659264" behindDoc="1" locked="0" layoutInCell="1" allowOverlap="1" wp14:anchorId="07C5A411" wp14:editId="4D877697">
          <wp:simplePos x="0" y="0"/>
          <wp:positionH relativeFrom="column">
            <wp:posOffset>-226031</wp:posOffset>
          </wp:positionH>
          <wp:positionV relativeFrom="paragraph">
            <wp:posOffset>113015</wp:posOffset>
          </wp:positionV>
          <wp:extent cx="2979506" cy="635666"/>
          <wp:effectExtent l="0" t="0" r="0" b="0"/>
          <wp:wrapTight wrapText="bothSides">
            <wp:wrapPolygon edited="0">
              <wp:start x="2302" y="2158"/>
              <wp:lineTo x="1657" y="4747"/>
              <wp:lineTo x="1013" y="8200"/>
              <wp:lineTo x="1013" y="11652"/>
              <wp:lineTo x="1473" y="16831"/>
              <wp:lineTo x="2302" y="18989"/>
              <wp:lineTo x="2394" y="19852"/>
              <wp:lineTo x="3315" y="19852"/>
              <wp:lineTo x="3499" y="18989"/>
              <wp:lineTo x="4051" y="17263"/>
              <wp:lineTo x="20624" y="16400"/>
              <wp:lineTo x="20900" y="12084"/>
              <wp:lineTo x="19243" y="9926"/>
              <wp:lineTo x="19427" y="5610"/>
              <wp:lineTo x="18506" y="5179"/>
              <wp:lineTo x="3315" y="2158"/>
              <wp:lineTo x="2302" y="2158"/>
            </wp:wrapPolygon>
          </wp:wrapTight>
          <wp:docPr id="203301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18438" name="Picture 2033018438"/>
                  <pic:cNvPicPr/>
                </pic:nvPicPr>
                <pic:blipFill rotWithShape="1">
                  <a:blip r:embed="rId1">
                    <a:extLst>
                      <a:ext uri="{28A0092B-C50C-407E-A947-70E740481C1C}">
                        <a14:useLocalDpi xmlns:a14="http://schemas.microsoft.com/office/drawing/2010/main" val="0"/>
                      </a:ext>
                    </a:extLst>
                  </a:blip>
                  <a:srcRect t="15264" b="14864"/>
                  <a:stretch>
                    <a:fillRect/>
                  </a:stretch>
                </pic:blipFill>
                <pic:spPr bwMode="auto">
                  <a:xfrm>
                    <a:off x="0" y="0"/>
                    <a:ext cx="2979506" cy="635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20F">
      <w:rPr>
        <w:noProof/>
        <w14:ligatures w14:val="none"/>
        <w14:numForm w14:val="default"/>
        <w14:numSpacing w14:val="default"/>
        <w14:cntxtAlts w14:val="0"/>
      </w:rPr>
      <w:drawing>
        <wp:anchor distT="0" distB="0" distL="114300" distR="114300" simplePos="0" relativeHeight="251658240" behindDoc="1" locked="0" layoutInCell="1" allowOverlap="1" wp14:anchorId="2C10BA20" wp14:editId="02396D6D">
          <wp:simplePos x="0" y="0"/>
          <wp:positionH relativeFrom="column">
            <wp:posOffset>3719195</wp:posOffset>
          </wp:positionH>
          <wp:positionV relativeFrom="paragraph">
            <wp:posOffset>112395</wp:posOffset>
          </wp:positionV>
          <wp:extent cx="2213610" cy="621665"/>
          <wp:effectExtent l="0" t="0" r="0" b="635"/>
          <wp:wrapTight wrapText="bothSides">
            <wp:wrapPolygon edited="0">
              <wp:start x="1487" y="0"/>
              <wp:lineTo x="496" y="2648"/>
              <wp:lineTo x="0" y="4854"/>
              <wp:lineTo x="0" y="17651"/>
              <wp:lineTo x="1363" y="21181"/>
              <wp:lineTo x="15738" y="21181"/>
              <wp:lineTo x="15862" y="19416"/>
              <wp:lineTo x="13384" y="15003"/>
              <wp:lineTo x="21439" y="13679"/>
              <wp:lineTo x="21439" y="10590"/>
              <wp:lineTo x="14003" y="7060"/>
              <wp:lineTo x="21439" y="4413"/>
              <wp:lineTo x="21439" y="441"/>
              <wp:lineTo x="20819" y="0"/>
              <wp:lineTo x="1487" y="0"/>
            </wp:wrapPolygon>
          </wp:wrapTight>
          <wp:docPr id="124828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80812" name="Picture 1248280812"/>
                  <pic:cNvPicPr/>
                </pic:nvPicPr>
                <pic:blipFill>
                  <a:blip r:embed="rId2">
                    <a:extLst>
                      <a:ext uri="{28A0092B-C50C-407E-A947-70E740481C1C}">
                        <a14:useLocalDpi xmlns:a14="http://schemas.microsoft.com/office/drawing/2010/main" val="0"/>
                      </a:ext>
                    </a:extLst>
                  </a:blip>
                  <a:stretch>
                    <a:fillRect/>
                  </a:stretch>
                </pic:blipFill>
                <pic:spPr>
                  <a:xfrm>
                    <a:off x="0" y="0"/>
                    <a:ext cx="2213610" cy="621665"/>
                  </a:xfrm>
                  <a:prstGeom prst="rect">
                    <a:avLst/>
                  </a:prstGeom>
                </pic:spPr>
              </pic:pic>
            </a:graphicData>
          </a:graphic>
          <wp14:sizeRelH relativeFrom="page">
            <wp14:pctWidth>0</wp14:pctWidth>
          </wp14:sizeRelH>
          <wp14:sizeRelV relativeFrom="page">
            <wp14:pctHeight>0</wp14:pctHeight>
          </wp14:sizeRelV>
        </wp:anchor>
      </w:drawing>
    </w:r>
  </w:p>
  <w:p w14:paraId="459606D2" w14:textId="77777777" w:rsidR="00BC2368" w:rsidRDefault="00BC2368" w:rsidP="00D7094D"/>
  <w:p w14:paraId="4C3E33A5" w14:textId="77777777" w:rsidR="004C120F" w:rsidRDefault="004C120F" w:rsidP="00D7094D"/>
  <w:p w14:paraId="1DA93C7C" w14:textId="77777777" w:rsidR="004C120F" w:rsidRDefault="004C120F" w:rsidP="00D70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C65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52F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CE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4E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A2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524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0AB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0C7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0E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C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540B0"/>
    <w:multiLevelType w:val="multilevel"/>
    <w:tmpl w:val="A2B81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35C1C50"/>
    <w:multiLevelType w:val="multilevel"/>
    <w:tmpl w:val="9A16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1848E8"/>
    <w:multiLevelType w:val="multilevel"/>
    <w:tmpl w:val="5D060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B520530"/>
    <w:multiLevelType w:val="hybridMultilevel"/>
    <w:tmpl w:val="54F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633F3F"/>
    <w:multiLevelType w:val="multilevel"/>
    <w:tmpl w:val="CF14D2EC"/>
    <w:numStyleLink w:val="UnorderedList"/>
  </w:abstractNum>
  <w:abstractNum w:abstractNumId="15" w15:restartNumberingAfterBreak="0">
    <w:nsid w:val="11773DB0"/>
    <w:multiLevelType w:val="multilevel"/>
    <w:tmpl w:val="88C8FA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1912A2A"/>
    <w:multiLevelType w:val="multilevel"/>
    <w:tmpl w:val="A5541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23E1732"/>
    <w:multiLevelType w:val="multilevel"/>
    <w:tmpl w:val="1F00C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43E5593"/>
    <w:multiLevelType w:val="multilevel"/>
    <w:tmpl w:val="7D3A9DA2"/>
    <w:lvl w:ilvl="0">
      <w:start w:val="1"/>
      <w:numFmt w:val="bullet"/>
      <w:pStyle w:val="ListBullet"/>
      <w:lvlText w:val=""/>
      <w:lvlJc w:val="left"/>
      <w:pPr>
        <w:ind w:left="340" w:hanging="340"/>
      </w:pPr>
      <w:rPr>
        <w:rFonts w:ascii="Symbol" w:hAnsi="Symbol" w:hint="default"/>
      </w:rPr>
    </w:lvl>
    <w:lvl w:ilvl="1">
      <w:start w:val="1"/>
      <w:numFmt w:val="bullet"/>
      <w:pStyle w:val="ListBullet2"/>
      <w:lvlText w:val="o"/>
      <w:lvlJc w:val="left"/>
      <w:pPr>
        <w:ind w:left="907" w:hanging="340"/>
      </w:pPr>
      <w:rPr>
        <w:rFonts w:ascii="Courier New" w:hAnsi="Courier New" w:cs="Courier New" w:hint="default"/>
      </w:rPr>
    </w:lvl>
    <w:lvl w:ilvl="2">
      <w:start w:val="1"/>
      <w:numFmt w:val="bullet"/>
      <w:pStyle w:val="ListBullet3"/>
      <w:lvlText w:val=""/>
      <w:lvlJc w:val="left"/>
      <w:pPr>
        <w:ind w:left="1474" w:hanging="340"/>
      </w:pPr>
      <w:rPr>
        <w:rFonts w:ascii="Wingdings" w:hAnsi="Wingdings" w:hint="default"/>
      </w:rPr>
    </w:lvl>
    <w:lvl w:ilvl="3">
      <w:start w:val="1"/>
      <w:numFmt w:val="bullet"/>
      <w:pStyle w:val="ListBullet4"/>
      <w:lvlText w:val=""/>
      <w:lvlJc w:val="left"/>
      <w:pPr>
        <w:ind w:left="2041" w:hanging="340"/>
      </w:pPr>
      <w:rPr>
        <w:rFonts w:ascii="Symbol" w:hAnsi="Symbol" w:hint="default"/>
      </w:rPr>
    </w:lvl>
    <w:lvl w:ilvl="4">
      <w:start w:val="1"/>
      <w:numFmt w:val="bullet"/>
      <w:pStyle w:val="ListBullet5"/>
      <w:lvlText w:val="o"/>
      <w:lvlJc w:val="left"/>
      <w:pPr>
        <w:ind w:left="2608" w:hanging="340"/>
      </w:pPr>
      <w:rPr>
        <w:rFonts w:ascii="Courier New" w:hAnsi="Courier New" w:cs="Courier New" w:hint="default"/>
      </w:rPr>
    </w:lvl>
    <w:lvl w:ilvl="5">
      <w:start w:val="1"/>
      <w:numFmt w:val="bullet"/>
      <w:lvlText w:val=""/>
      <w:lvlJc w:val="left"/>
      <w:pPr>
        <w:ind w:left="3175" w:hanging="340"/>
      </w:pPr>
      <w:rPr>
        <w:rFonts w:ascii="Wingdings" w:hAnsi="Wingdings" w:hint="default"/>
      </w:rPr>
    </w:lvl>
    <w:lvl w:ilvl="6">
      <w:start w:val="1"/>
      <w:numFmt w:val="bullet"/>
      <w:lvlText w:val=""/>
      <w:lvlJc w:val="left"/>
      <w:pPr>
        <w:ind w:left="3742" w:hanging="340"/>
      </w:pPr>
      <w:rPr>
        <w:rFonts w:ascii="Symbol" w:hAnsi="Symbol" w:hint="default"/>
      </w:rPr>
    </w:lvl>
    <w:lvl w:ilvl="7">
      <w:start w:val="1"/>
      <w:numFmt w:val="bullet"/>
      <w:lvlText w:val="o"/>
      <w:lvlJc w:val="left"/>
      <w:pPr>
        <w:ind w:left="4309" w:hanging="340"/>
      </w:pPr>
      <w:rPr>
        <w:rFonts w:ascii="Courier New" w:hAnsi="Courier New" w:cs="Courier New" w:hint="default"/>
      </w:rPr>
    </w:lvl>
    <w:lvl w:ilvl="8">
      <w:start w:val="1"/>
      <w:numFmt w:val="bullet"/>
      <w:lvlText w:val=""/>
      <w:lvlJc w:val="left"/>
      <w:pPr>
        <w:ind w:left="4876" w:hanging="340"/>
      </w:pPr>
      <w:rPr>
        <w:rFonts w:ascii="Wingdings" w:hAnsi="Wingdings" w:hint="default"/>
      </w:rPr>
    </w:lvl>
  </w:abstractNum>
  <w:abstractNum w:abstractNumId="19" w15:restartNumberingAfterBreak="0">
    <w:nsid w:val="14401850"/>
    <w:multiLevelType w:val="multilevel"/>
    <w:tmpl w:val="E5CC67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55344EF"/>
    <w:multiLevelType w:val="multilevel"/>
    <w:tmpl w:val="B920A6A8"/>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1" w15:restartNumberingAfterBreak="0">
    <w:nsid w:val="15742AD9"/>
    <w:multiLevelType w:val="multilevel"/>
    <w:tmpl w:val="CF14D2EC"/>
    <w:numStyleLink w:val="UnorderedList"/>
  </w:abstractNum>
  <w:abstractNum w:abstractNumId="22" w15:restartNumberingAfterBreak="0">
    <w:nsid w:val="15825B64"/>
    <w:multiLevelType w:val="multilevel"/>
    <w:tmpl w:val="96886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EE537E"/>
    <w:multiLevelType w:val="multilevel"/>
    <w:tmpl w:val="BA1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04C39D7"/>
    <w:multiLevelType w:val="multilevel"/>
    <w:tmpl w:val="4C12E7D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1DC3B1D"/>
    <w:multiLevelType w:val="multilevel"/>
    <w:tmpl w:val="B920A6A8"/>
    <w:lvl w:ilvl="0">
      <w:start w:val="1"/>
      <w:numFmt w:val="decimal"/>
      <w:pStyle w:val="ListNumber"/>
      <w:lvlText w:val="%1."/>
      <w:lvlJc w:val="left"/>
      <w:pPr>
        <w:ind w:left="567" w:hanging="340"/>
      </w:pPr>
      <w:rPr>
        <w:rFonts w:hint="default"/>
      </w:rPr>
    </w:lvl>
    <w:lvl w:ilvl="1">
      <w:start w:val="1"/>
      <w:numFmt w:val="lowerLetter"/>
      <w:pStyle w:val="ListNumber2"/>
      <w:lvlText w:val="%2."/>
      <w:lvlJc w:val="left"/>
      <w:pPr>
        <w:ind w:left="1134" w:hanging="340"/>
      </w:pPr>
      <w:rPr>
        <w:rFonts w:hint="default"/>
      </w:rPr>
    </w:lvl>
    <w:lvl w:ilvl="2">
      <w:start w:val="1"/>
      <w:numFmt w:val="lowerRoman"/>
      <w:pStyle w:val="ListNumber3"/>
      <w:lvlText w:val="%3."/>
      <w:lvlJc w:val="left"/>
      <w:pPr>
        <w:ind w:left="1701" w:hanging="340"/>
      </w:pPr>
      <w:rPr>
        <w:rFonts w:hint="default"/>
      </w:rPr>
    </w:lvl>
    <w:lvl w:ilvl="3">
      <w:start w:val="1"/>
      <w:numFmt w:val="decimal"/>
      <w:pStyle w:val="ListNumber4"/>
      <w:lvlText w:val="%4."/>
      <w:lvlJc w:val="left"/>
      <w:pPr>
        <w:ind w:left="2268" w:hanging="340"/>
      </w:pPr>
      <w:rPr>
        <w:rFonts w:hint="default"/>
      </w:rPr>
    </w:lvl>
    <w:lvl w:ilvl="4">
      <w:start w:val="1"/>
      <w:numFmt w:val="lowerLetter"/>
      <w:pStyle w:val="ListNumber5"/>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6" w15:restartNumberingAfterBreak="0">
    <w:nsid w:val="22293D8A"/>
    <w:multiLevelType w:val="multilevel"/>
    <w:tmpl w:val="307A1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2391165"/>
    <w:multiLevelType w:val="hybridMultilevel"/>
    <w:tmpl w:val="1194A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5AE2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6BA74E2"/>
    <w:multiLevelType w:val="multilevel"/>
    <w:tmpl w:val="B64E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6F07302"/>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173711"/>
    <w:multiLevelType w:val="multilevel"/>
    <w:tmpl w:val="B07E7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998613A"/>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C852241"/>
    <w:multiLevelType w:val="multilevel"/>
    <w:tmpl w:val="9B7C8F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15:restartNumberingAfterBreak="0">
    <w:nsid w:val="31EC6563"/>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36C79D1"/>
    <w:multiLevelType w:val="hybridMultilevel"/>
    <w:tmpl w:val="3CA4D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59B4393"/>
    <w:multiLevelType w:val="hybridMultilevel"/>
    <w:tmpl w:val="259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BE7E87"/>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8" w15:restartNumberingAfterBreak="0">
    <w:nsid w:val="36202BF2"/>
    <w:multiLevelType w:val="multilevel"/>
    <w:tmpl w:val="2F16E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83C2101"/>
    <w:multiLevelType w:val="multilevel"/>
    <w:tmpl w:val="CF14D2EC"/>
    <w:numStyleLink w:val="UnorderedList"/>
  </w:abstractNum>
  <w:abstractNum w:abstractNumId="40" w15:restartNumberingAfterBreak="0">
    <w:nsid w:val="387D5039"/>
    <w:multiLevelType w:val="multilevel"/>
    <w:tmpl w:val="CF14D2EC"/>
    <w:styleLink w:val="UnorderedList"/>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41" w15:restartNumberingAfterBreak="0">
    <w:nsid w:val="3B4F7BF7"/>
    <w:multiLevelType w:val="multilevel"/>
    <w:tmpl w:val="86829178"/>
    <w:styleLink w:val="OrderedList"/>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42" w15:restartNumberingAfterBreak="0">
    <w:nsid w:val="44AF323A"/>
    <w:multiLevelType w:val="hybridMultilevel"/>
    <w:tmpl w:val="322420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514415F"/>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44" w15:restartNumberingAfterBreak="0">
    <w:nsid w:val="4A2958EF"/>
    <w:multiLevelType w:val="multilevel"/>
    <w:tmpl w:val="CF14D2EC"/>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45" w15:restartNumberingAfterBreak="0">
    <w:nsid w:val="4A653A05"/>
    <w:multiLevelType w:val="multilevel"/>
    <w:tmpl w:val="465217D4"/>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46" w15:restartNumberingAfterBreak="0">
    <w:nsid w:val="4BC51176"/>
    <w:multiLevelType w:val="multilevel"/>
    <w:tmpl w:val="09C6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0C38C8"/>
    <w:multiLevelType w:val="multilevel"/>
    <w:tmpl w:val="10F86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02F6218"/>
    <w:multiLevelType w:val="multilevel"/>
    <w:tmpl w:val="CF14D2EC"/>
    <w:numStyleLink w:val="UnorderedList"/>
  </w:abstractNum>
  <w:abstractNum w:abstractNumId="49" w15:restartNumberingAfterBreak="0">
    <w:nsid w:val="5C1855BF"/>
    <w:multiLevelType w:val="multilevel"/>
    <w:tmpl w:val="99A26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613A3F18"/>
    <w:multiLevelType w:val="multilevel"/>
    <w:tmpl w:val="C2BAE3D2"/>
    <w:lvl w:ilvl="0">
      <w:start w:val="1"/>
      <w:numFmt w:val="bullet"/>
      <w:lvlText w:val=""/>
      <w:lvlJc w:val="left"/>
      <w:pPr>
        <w:ind w:left="567" w:hanging="340"/>
      </w:pPr>
      <w:rPr>
        <w:rFonts w:ascii="Symbol" w:hAnsi="Symbol" w:hint="default"/>
      </w:rPr>
    </w:lvl>
    <w:lvl w:ilvl="1">
      <w:start w:val="1"/>
      <w:numFmt w:val="bullet"/>
      <w:lvlText w:val="o"/>
      <w:lvlJc w:val="left"/>
      <w:pPr>
        <w:ind w:left="1134" w:hanging="340"/>
      </w:pPr>
      <w:rPr>
        <w:rFonts w:ascii="Courier New" w:hAnsi="Courier New" w:cs="Courier New" w:hint="default"/>
      </w:rPr>
    </w:lvl>
    <w:lvl w:ilvl="2">
      <w:start w:val="1"/>
      <w:numFmt w:val="bullet"/>
      <w:lvlText w:val=""/>
      <w:lvlJc w:val="left"/>
      <w:pPr>
        <w:ind w:left="1701" w:hanging="340"/>
      </w:pPr>
      <w:rPr>
        <w:rFonts w:ascii="Wingdings" w:hAnsi="Wingdings" w:hint="default"/>
      </w:rPr>
    </w:lvl>
    <w:lvl w:ilvl="3">
      <w:start w:val="1"/>
      <w:numFmt w:val="bullet"/>
      <w:lvlText w:val=""/>
      <w:lvlJc w:val="left"/>
      <w:pPr>
        <w:ind w:left="2268" w:hanging="340"/>
      </w:pPr>
      <w:rPr>
        <w:rFonts w:ascii="Symbol" w:hAnsi="Symbol" w:hint="default"/>
      </w:rPr>
    </w:lvl>
    <w:lvl w:ilvl="4">
      <w:start w:val="1"/>
      <w:numFmt w:val="bullet"/>
      <w:lvlText w:val="o"/>
      <w:lvlJc w:val="left"/>
      <w:pPr>
        <w:ind w:left="2835" w:hanging="340"/>
      </w:pPr>
      <w:rPr>
        <w:rFonts w:ascii="Courier New" w:hAnsi="Courier New" w:cs="Courier New" w:hint="default"/>
      </w:rPr>
    </w:lvl>
    <w:lvl w:ilvl="5">
      <w:start w:val="1"/>
      <w:numFmt w:val="bullet"/>
      <w:lvlText w:val=""/>
      <w:lvlJc w:val="left"/>
      <w:pPr>
        <w:ind w:left="3402" w:hanging="340"/>
      </w:pPr>
      <w:rPr>
        <w:rFonts w:ascii="Wingdings" w:hAnsi="Wingdings" w:hint="default"/>
      </w:rPr>
    </w:lvl>
    <w:lvl w:ilvl="6">
      <w:start w:val="1"/>
      <w:numFmt w:val="bullet"/>
      <w:lvlText w:val=""/>
      <w:lvlJc w:val="left"/>
      <w:pPr>
        <w:ind w:left="3969" w:hanging="340"/>
      </w:pPr>
      <w:rPr>
        <w:rFonts w:ascii="Symbol" w:hAnsi="Symbol" w:hint="default"/>
      </w:rPr>
    </w:lvl>
    <w:lvl w:ilvl="7">
      <w:start w:val="1"/>
      <w:numFmt w:val="bullet"/>
      <w:lvlText w:val="o"/>
      <w:lvlJc w:val="left"/>
      <w:pPr>
        <w:ind w:left="4536" w:hanging="340"/>
      </w:pPr>
      <w:rPr>
        <w:rFonts w:ascii="Courier New" w:hAnsi="Courier New" w:cs="Courier New" w:hint="default"/>
      </w:rPr>
    </w:lvl>
    <w:lvl w:ilvl="8">
      <w:start w:val="1"/>
      <w:numFmt w:val="bullet"/>
      <w:lvlText w:val=""/>
      <w:lvlJc w:val="left"/>
      <w:pPr>
        <w:ind w:left="5103" w:hanging="340"/>
      </w:pPr>
      <w:rPr>
        <w:rFonts w:ascii="Wingdings" w:hAnsi="Wingdings" w:hint="default"/>
      </w:rPr>
    </w:lvl>
  </w:abstractNum>
  <w:abstractNum w:abstractNumId="51" w15:restartNumberingAfterBreak="0">
    <w:nsid w:val="65EF5EF1"/>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64D757A"/>
    <w:multiLevelType w:val="hybridMultilevel"/>
    <w:tmpl w:val="94A87580"/>
    <w:lvl w:ilvl="0" w:tplc="7EF87032">
      <w:start w:val="1"/>
      <w:numFmt w:val="bullet"/>
      <w:lvlText w:val=""/>
      <w:lvlJc w:val="left"/>
      <w:pPr>
        <w:ind w:left="5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1FC189D"/>
    <w:multiLevelType w:val="multilevel"/>
    <w:tmpl w:val="E2684B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73CE0533"/>
    <w:multiLevelType w:val="hybridMultilevel"/>
    <w:tmpl w:val="52E44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337862"/>
    <w:multiLevelType w:val="multilevel"/>
    <w:tmpl w:val="86829178"/>
    <w:numStyleLink w:val="OrderedList"/>
  </w:abstractNum>
  <w:abstractNum w:abstractNumId="56" w15:restartNumberingAfterBreak="0">
    <w:nsid w:val="760168B7"/>
    <w:multiLevelType w:val="multilevel"/>
    <w:tmpl w:val="1AF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B953C3"/>
    <w:multiLevelType w:val="hybridMultilevel"/>
    <w:tmpl w:val="3EF837A2"/>
    <w:lvl w:ilvl="0" w:tplc="5F2CA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0F1FBE"/>
    <w:multiLevelType w:val="multilevel"/>
    <w:tmpl w:val="C96A62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7BFD746F"/>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012672">
    <w:abstractNumId w:val="9"/>
  </w:num>
  <w:num w:numId="2" w16cid:durableId="1807430742">
    <w:abstractNumId w:val="7"/>
  </w:num>
  <w:num w:numId="3" w16cid:durableId="952129819">
    <w:abstractNumId w:val="6"/>
  </w:num>
  <w:num w:numId="4" w16cid:durableId="1567062258">
    <w:abstractNumId w:val="5"/>
  </w:num>
  <w:num w:numId="5" w16cid:durableId="628165751">
    <w:abstractNumId w:val="4"/>
  </w:num>
  <w:num w:numId="6" w16cid:durableId="127205612">
    <w:abstractNumId w:val="8"/>
  </w:num>
  <w:num w:numId="7" w16cid:durableId="1720396538">
    <w:abstractNumId w:val="3"/>
  </w:num>
  <w:num w:numId="8" w16cid:durableId="111675516">
    <w:abstractNumId w:val="2"/>
  </w:num>
  <w:num w:numId="9" w16cid:durableId="680350625">
    <w:abstractNumId w:val="1"/>
  </w:num>
  <w:num w:numId="10" w16cid:durableId="1612395721">
    <w:abstractNumId w:val="0"/>
  </w:num>
  <w:num w:numId="11" w16cid:durableId="1432167919">
    <w:abstractNumId w:val="52"/>
  </w:num>
  <w:num w:numId="12" w16cid:durableId="1331719821">
    <w:abstractNumId w:val="50"/>
  </w:num>
  <w:num w:numId="13" w16cid:durableId="861482384">
    <w:abstractNumId w:val="18"/>
  </w:num>
  <w:num w:numId="14" w16cid:durableId="582106439">
    <w:abstractNumId w:val="25"/>
  </w:num>
  <w:num w:numId="15" w16cid:durableId="1865901707">
    <w:abstractNumId w:val="57"/>
  </w:num>
  <w:num w:numId="16" w16cid:durableId="556206249">
    <w:abstractNumId w:val="20"/>
  </w:num>
  <w:num w:numId="17" w16cid:durableId="1095858497">
    <w:abstractNumId w:val="28"/>
  </w:num>
  <w:num w:numId="18" w16cid:durableId="1365207615">
    <w:abstractNumId w:val="45"/>
  </w:num>
  <w:num w:numId="19" w16cid:durableId="5523522">
    <w:abstractNumId w:val="27"/>
  </w:num>
  <w:num w:numId="20" w16cid:durableId="74936745">
    <w:abstractNumId w:val="37"/>
  </w:num>
  <w:num w:numId="21" w16cid:durableId="2135323401">
    <w:abstractNumId w:val="23"/>
  </w:num>
  <w:num w:numId="22" w16cid:durableId="853154570">
    <w:abstractNumId w:val="43"/>
  </w:num>
  <w:num w:numId="23" w16cid:durableId="1255749161">
    <w:abstractNumId w:val="13"/>
  </w:num>
  <w:num w:numId="24" w16cid:durableId="1991522804">
    <w:abstractNumId w:val="44"/>
  </w:num>
  <w:num w:numId="25" w16cid:durableId="336814518">
    <w:abstractNumId w:val="41"/>
  </w:num>
  <w:num w:numId="26" w16cid:durableId="1258832564">
    <w:abstractNumId w:val="55"/>
  </w:num>
  <w:num w:numId="27" w16cid:durableId="1795757561">
    <w:abstractNumId w:val="40"/>
  </w:num>
  <w:num w:numId="28" w16cid:durableId="1083455516">
    <w:abstractNumId w:val="48"/>
  </w:num>
  <w:num w:numId="29" w16cid:durableId="1833836052">
    <w:abstractNumId w:val="36"/>
  </w:num>
  <w:num w:numId="30" w16cid:durableId="1973362261">
    <w:abstractNumId w:val="39"/>
  </w:num>
  <w:num w:numId="31" w16cid:durableId="1164590978">
    <w:abstractNumId w:val="39"/>
  </w:num>
  <w:num w:numId="32" w16cid:durableId="1232275561">
    <w:abstractNumId w:val="39"/>
  </w:num>
  <w:num w:numId="33" w16cid:durableId="1476289710">
    <w:abstractNumId w:val="11"/>
  </w:num>
  <w:num w:numId="34" w16cid:durableId="1086881597">
    <w:abstractNumId w:val="14"/>
  </w:num>
  <w:num w:numId="35" w16cid:durableId="83765988">
    <w:abstractNumId w:val="21"/>
  </w:num>
  <w:num w:numId="36" w16cid:durableId="930092454">
    <w:abstractNumId w:val="30"/>
  </w:num>
  <w:num w:numId="37" w16cid:durableId="2082091494">
    <w:abstractNumId w:val="59"/>
  </w:num>
  <w:num w:numId="38" w16cid:durableId="188106140">
    <w:abstractNumId w:val="34"/>
  </w:num>
  <w:num w:numId="39" w16cid:durableId="424307685">
    <w:abstractNumId w:val="51"/>
  </w:num>
  <w:num w:numId="40" w16cid:durableId="755515199">
    <w:abstractNumId w:val="32"/>
  </w:num>
  <w:num w:numId="41" w16cid:durableId="1372538445">
    <w:abstractNumId w:val="33"/>
  </w:num>
  <w:num w:numId="42" w16cid:durableId="141584957">
    <w:abstractNumId w:val="53"/>
  </w:num>
  <w:num w:numId="43" w16cid:durableId="355161668">
    <w:abstractNumId w:val="58"/>
  </w:num>
  <w:num w:numId="44" w16cid:durableId="1685476416">
    <w:abstractNumId w:val="19"/>
  </w:num>
  <w:num w:numId="45" w16cid:durableId="805779541">
    <w:abstractNumId w:val="12"/>
  </w:num>
  <w:num w:numId="46" w16cid:durableId="496389445">
    <w:abstractNumId w:val="16"/>
  </w:num>
  <w:num w:numId="47" w16cid:durableId="1786658851">
    <w:abstractNumId w:val="17"/>
  </w:num>
  <w:num w:numId="48" w16cid:durableId="897016814">
    <w:abstractNumId w:val="49"/>
  </w:num>
  <w:num w:numId="49" w16cid:durableId="1183402658">
    <w:abstractNumId w:val="29"/>
  </w:num>
  <w:num w:numId="50" w16cid:durableId="1602907311">
    <w:abstractNumId w:val="15"/>
  </w:num>
  <w:num w:numId="51" w16cid:durableId="697513463">
    <w:abstractNumId w:val="31"/>
  </w:num>
  <w:num w:numId="52" w16cid:durableId="1591770747">
    <w:abstractNumId w:val="24"/>
  </w:num>
  <w:num w:numId="53" w16cid:durableId="238174901">
    <w:abstractNumId w:val="56"/>
  </w:num>
  <w:num w:numId="54" w16cid:durableId="186917277">
    <w:abstractNumId w:val="42"/>
  </w:num>
  <w:num w:numId="55" w16cid:durableId="1643651983">
    <w:abstractNumId w:val="22"/>
  </w:num>
  <w:num w:numId="56" w16cid:durableId="1943879514">
    <w:abstractNumId w:val="35"/>
  </w:num>
  <w:num w:numId="57" w16cid:durableId="690495323">
    <w:abstractNumId w:val="38"/>
  </w:num>
  <w:num w:numId="58" w16cid:durableId="1709526553">
    <w:abstractNumId w:val="10"/>
  </w:num>
  <w:num w:numId="59" w16cid:durableId="1493447263">
    <w:abstractNumId w:val="46"/>
  </w:num>
  <w:num w:numId="60" w16cid:durableId="1054934555">
    <w:abstractNumId w:val="47"/>
  </w:num>
  <w:num w:numId="61" w16cid:durableId="1968655373">
    <w:abstractNumId w:val="26"/>
  </w:num>
  <w:num w:numId="62" w16cid:durableId="1543832898">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DD"/>
    <w:rsid w:val="00041907"/>
    <w:rsid w:val="000631F4"/>
    <w:rsid w:val="00093627"/>
    <w:rsid w:val="000A4D29"/>
    <w:rsid w:val="000A6849"/>
    <w:rsid w:val="000D01A1"/>
    <w:rsid w:val="000E1194"/>
    <w:rsid w:val="00112F39"/>
    <w:rsid w:val="00152CC4"/>
    <w:rsid w:val="00155435"/>
    <w:rsid w:val="001574DB"/>
    <w:rsid w:val="00175D6D"/>
    <w:rsid w:val="001B2B6A"/>
    <w:rsid w:val="001D78E5"/>
    <w:rsid w:val="00210F83"/>
    <w:rsid w:val="00227A8E"/>
    <w:rsid w:val="00227F89"/>
    <w:rsid w:val="002328DD"/>
    <w:rsid w:val="002340F0"/>
    <w:rsid w:val="0024649C"/>
    <w:rsid w:val="00263602"/>
    <w:rsid w:val="002A000E"/>
    <w:rsid w:val="002C0E68"/>
    <w:rsid w:val="00311C5E"/>
    <w:rsid w:val="00341FA0"/>
    <w:rsid w:val="00367645"/>
    <w:rsid w:val="003A2277"/>
    <w:rsid w:val="003F4B7C"/>
    <w:rsid w:val="0046097D"/>
    <w:rsid w:val="0049040C"/>
    <w:rsid w:val="004A39DE"/>
    <w:rsid w:val="004C120F"/>
    <w:rsid w:val="004C76FA"/>
    <w:rsid w:val="004D2156"/>
    <w:rsid w:val="00511E46"/>
    <w:rsid w:val="005424C3"/>
    <w:rsid w:val="00551415"/>
    <w:rsid w:val="00581DE3"/>
    <w:rsid w:val="005B7B99"/>
    <w:rsid w:val="005D3342"/>
    <w:rsid w:val="005D3FFF"/>
    <w:rsid w:val="005F6BCF"/>
    <w:rsid w:val="006030BC"/>
    <w:rsid w:val="00606825"/>
    <w:rsid w:val="0064600C"/>
    <w:rsid w:val="00677987"/>
    <w:rsid w:val="006C5766"/>
    <w:rsid w:val="006C7FF8"/>
    <w:rsid w:val="006D577B"/>
    <w:rsid w:val="0071751D"/>
    <w:rsid w:val="0074030F"/>
    <w:rsid w:val="007A7570"/>
    <w:rsid w:val="007E32E7"/>
    <w:rsid w:val="00813205"/>
    <w:rsid w:val="00844A15"/>
    <w:rsid w:val="0088609C"/>
    <w:rsid w:val="00895A5E"/>
    <w:rsid w:val="008A16A1"/>
    <w:rsid w:val="008A5E35"/>
    <w:rsid w:val="008B62F6"/>
    <w:rsid w:val="008C0686"/>
    <w:rsid w:val="008C79BC"/>
    <w:rsid w:val="008D52FF"/>
    <w:rsid w:val="00903873"/>
    <w:rsid w:val="00916121"/>
    <w:rsid w:val="009357FA"/>
    <w:rsid w:val="00965D70"/>
    <w:rsid w:val="009B0057"/>
    <w:rsid w:val="009D3C57"/>
    <w:rsid w:val="009E4B83"/>
    <w:rsid w:val="009E6CDB"/>
    <w:rsid w:val="009E6E9C"/>
    <w:rsid w:val="00A60CD4"/>
    <w:rsid w:val="00A84359"/>
    <w:rsid w:val="00AF0463"/>
    <w:rsid w:val="00AF402E"/>
    <w:rsid w:val="00B155B7"/>
    <w:rsid w:val="00B71D8D"/>
    <w:rsid w:val="00B80A0A"/>
    <w:rsid w:val="00BB1312"/>
    <w:rsid w:val="00BC2368"/>
    <w:rsid w:val="00C035FB"/>
    <w:rsid w:val="00C16902"/>
    <w:rsid w:val="00C2535D"/>
    <w:rsid w:val="00C743FD"/>
    <w:rsid w:val="00C96A49"/>
    <w:rsid w:val="00CC53EA"/>
    <w:rsid w:val="00CC7BFE"/>
    <w:rsid w:val="00CE4209"/>
    <w:rsid w:val="00CF7178"/>
    <w:rsid w:val="00D1353C"/>
    <w:rsid w:val="00D154C7"/>
    <w:rsid w:val="00D2459A"/>
    <w:rsid w:val="00D32FDE"/>
    <w:rsid w:val="00D679DB"/>
    <w:rsid w:val="00D7094D"/>
    <w:rsid w:val="00D76561"/>
    <w:rsid w:val="00DB631D"/>
    <w:rsid w:val="00DD49DD"/>
    <w:rsid w:val="00E364C2"/>
    <w:rsid w:val="00E43B54"/>
    <w:rsid w:val="00EC4BAE"/>
    <w:rsid w:val="00EF13D5"/>
    <w:rsid w:val="00F0196F"/>
    <w:rsid w:val="00F04F4E"/>
    <w:rsid w:val="00F967BF"/>
    <w:rsid w:val="00FA2530"/>
    <w:rsid w:val="00FC52BA"/>
    <w:rsid w:val="00FD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4C13F"/>
  <w15:chartTrackingRefBased/>
  <w15:docId w15:val="{8EA3140A-4BB9-984C-B107-97A04D90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56"/>
    <w:pPr>
      <w:spacing w:line="312" w:lineRule="auto"/>
    </w:pPr>
    <w:rPr>
      <w:kern w:val="20"/>
      <w:sz w:val="20"/>
      <w14:ligatures w14:val="standardContextual"/>
      <w14:numForm w14:val="lining"/>
      <w14:numSpacing w14:val="tabular"/>
      <w14:cntxtAlts/>
    </w:rPr>
  </w:style>
  <w:style w:type="paragraph" w:styleId="Heading1">
    <w:name w:val="heading 1"/>
    <w:basedOn w:val="Normal"/>
    <w:next w:val="Normal"/>
    <w:link w:val="Heading1Char"/>
    <w:uiPriority w:val="9"/>
    <w:qFormat/>
    <w:rsid w:val="008D52FF"/>
    <w:pPr>
      <w:keepNext/>
      <w:keepLines/>
      <w:suppressAutoHyphens/>
      <w:spacing w:before="320" w:line="240" w:lineRule="auto"/>
      <w:outlineLvl w:val="0"/>
    </w:pPr>
    <w:rPr>
      <w:rFonts w:asciiTheme="majorHAnsi" w:hAnsiTheme="majorHAnsi"/>
      <w:b/>
      <w:color w:val="AD003D" w:themeColor="accent1"/>
      <w:sz w:val="48"/>
    </w:rPr>
  </w:style>
  <w:style w:type="paragraph" w:styleId="Heading2">
    <w:name w:val="heading 2"/>
    <w:basedOn w:val="Heading1"/>
    <w:next w:val="Normal"/>
    <w:link w:val="Heading2Char"/>
    <w:uiPriority w:val="9"/>
    <w:qFormat/>
    <w:rsid w:val="000A6849"/>
    <w:pPr>
      <w:outlineLvl w:val="1"/>
    </w:pPr>
    <w:rPr>
      <w:sz w:val="32"/>
    </w:rPr>
  </w:style>
  <w:style w:type="paragraph" w:styleId="Heading3">
    <w:name w:val="heading 3"/>
    <w:basedOn w:val="Heading2"/>
    <w:next w:val="Normal"/>
    <w:link w:val="Heading3Char"/>
    <w:uiPriority w:val="9"/>
    <w:qFormat/>
    <w:rsid w:val="00263602"/>
    <w:pPr>
      <w:outlineLvl w:val="2"/>
    </w:pPr>
    <w:rPr>
      <w:b w:val="0"/>
      <w:color w:val="000000" w:themeColor="text1"/>
      <w:sz w:val="24"/>
    </w:rPr>
  </w:style>
  <w:style w:type="paragraph" w:styleId="Heading4">
    <w:name w:val="heading 4"/>
    <w:basedOn w:val="Heading3"/>
    <w:next w:val="Normal"/>
    <w:link w:val="Heading4Char"/>
    <w:uiPriority w:val="9"/>
    <w:unhideWhenUsed/>
    <w:qFormat/>
    <w:rsid w:val="00D154C7"/>
    <w:pPr>
      <w:outlineLvl w:val="3"/>
    </w:pPr>
    <w:rPr>
      <w:color w:val="auto"/>
      <w:sz w:val="22"/>
    </w:rPr>
  </w:style>
  <w:style w:type="paragraph" w:styleId="Heading5">
    <w:name w:val="heading 5"/>
    <w:basedOn w:val="Heading4"/>
    <w:next w:val="Normal"/>
    <w:link w:val="Heading5Char"/>
    <w:uiPriority w:val="9"/>
    <w:unhideWhenUsed/>
    <w:qFormat/>
    <w:rsid w:val="00844A15"/>
    <w:pPr>
      <w:outlineLvl w:val="4"/>
    </w:pPr>
    <w:rPr>
      <w:rFonts w:asciiTheme="minorHAnsi" w:hAnsiTheme="minorHAnsi"/>
      <w:smallCaps/>
    </w:rPr>
  </w:style>
  <w:style w:type="paragraph" w:styleId="Heading6">
    <w:name w:val="heading 6"/>
    <w:basedOn w:val="Heading5"/>
    <w:next w:val="Normal"/>
    <w:link w:val="Heading6Char"/>
    <w:uiPriority w:val="9"/>
    <w:semiHidden/>
    <w:rsid w:val="000A6849"/>
    <w:pPr>
      <w:outlineLvl w:val="5"/>
    </w:pPr>
  </w:style>
  <w:style w:type="paragraph" w:styleId="Heading7">
    <w:name w:val="heading 7"/>
    <w:basedOn w:val="Heading6"/>
    <w:next w:val="Normal"/>
    <w:link w:val="Heading7Char"/>
    <w:uiPriority w:val="9"/>
    <w:semiHidden/>
    <w:rsid w:val="00F04F4E"/>
    <w:pPr>
      <w:outlineLvl w:val="6"/>
    </w:pPr>
  </w:style>
  <w:style w:type="paragraph" w:styleId="Heading8">
    <w:name w:val="heading 8"/>
    <w:basedOn w:val="Heading7"/>
    <w:next w:val="Normal"/>
    <w:link w:val="Heading8Char"/>
    <w:uiPriority w:val="9"/>
    <w:semiHidden/>
    <w:rsid w:val="00F04F4E"/>
    <w:pPr>
      <w:outlineLvl w:val="7"/>
    </w:pPr>
  </w:style>
  <w:style w:type="paragraph" w:styleId="Heading9">
    <w:name w:val="heading 9"/>
    <w:basedOn w:val="Heading8"/>
    <w:next w:val="Normal"/>
    <w:link w:val="Heading9Char"/>
    <w:uiPriority w:val="9"/>
    <w:semiHidden/>
    <w:rsid w:val="00F04F4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BodyText"/>
    <w:next w:val="Normal"/>
    <w:link w:val="TitleChar"/>
    <w:uiPriority w:val="10"/>
    <w:rsid w:val="00263602"/>
    <w:pPr>
      <w:pageBreakBefore/>
      <w:spacing w:before="0" w:after="600"/>
    </w:pPr>
    <w:rPr>
      <w:b w:val="0"/>
      <w:color w:val="000000" w:themeColor="text1"/>
      <w:sz w:val="72"/>
    </w:rPr>
  </w:style>
  <w:style w:type="character" w:customStyle="1" w:styleId="TitleChar">
    <w:name w:val="Title Char"/>
    <w:basedOn w:val="DefaultParagraphFont"/>
    <w:link w:val="Title"/>
    <w:uiPriority w:val="10"/>
    <w:rsid w:val="00263602"/>
    <w:rPr>
      <w:rFonts w:asciiTheme="majorHAnsi" w:hAnsiTheme="majorHAnsi"/>
      <w:color w:val="000000" w:themeColor="text1"/>
      <w:kern w:val="20"/>
      <w:sz w:val="72"/>
      <w14:ligatures w14:val="standardContextual"/>
      <w14:numForm w14:val="lining"/>
      <w14:numSpacing w14:val="tabular"/>
      <w14:cntxtAlts/>
    </w:rPr>
  </w:style>
  <w:style w:type="character" w:customStyle="1" w:styleId="Heading1Char">
    <w:name w:val="Heading 1 Char"/>
    <w:basedOn w:val="DefaultParagraphFont"/>
    <w:link w:val="Heading1"/>
    <w:uiPriority w:val="9"/>
    <w:rsid w:val="008D52FF"/>
    <w:rPr>
      <w:rFonts w:asciiTheme="majorHAnsi" w:hAnsiTheme="majorHAnsi"/>
      <w:b/>
      <w:color w:val="AD003D" w:themeColor="accent1"/>
      <w:kern w:val="20"/>
      <w:sz w:val="48"/>
      <w14:ligatures w14:val="standardContextual"/>
      <w14:numForm w14:val="lining"/>
      <w14:numSpacing w14:val="tabular"/>
      <w14:cntxtAlts/>
    </w:rPr>
  </w:style>
  <w:style w:type="character" w:customStyle="1" w:styleId="Heading2Char">
    <w:name w:val="Heading 2 Char"/>
    <w:basedOn w:val="DefaultParagraphFont"/>
    <w:link w:val="Heading2"/>
    <w:uiPriority w:val="9"/>
    <w:rsid w:val="001D78E5"/>
    <w:rPr>
      <w:rFonts w:asciiTheme="majorHAnsi" w:hAnsiTheme="majorHAnsi"/>
      <w:color w:val="AD003D" w:themeColor="accent1"/>
      <w:sz w:val="32"/>
    </w:rPr>
  </w:style>
  <w:style w:type="character" w:customStyle="1" w:styleId="Heading3Char">
    <w:name w:val="Heading 3 Char"/>
    <w:basedOn w:val="DefaultParagraphFont"/>
    <w:link w:val="Heading3"/>
    <w:uiPriority w:val="9"/>
    <w:rsid w:val="00263602"/>
    <w:rPr>
      <w:rFonts w:asciiTheme="majorHAnsi" w:hAnsiTheme="majorHAnsi"/>
      <w:color w:val="000000" w:themeColor="text1"/>
      <w:kern w:val="20"/>
      <w:sz w:val="24"/>
      <w14:ligatures w14:val="standardContextual"/>
      <w14:numForm w14:val="lining"/>
      <w14:numSpacing w14:val="tabular"/>
      <w14:cntxtAlts/>
    </w:rPr>
  </w:style>
  <w:style w:type="character" w:customStyle="1" w:styleId="Heading4Char">
    <w:name w:val="Heading 4 Char"/>
    <w:basedOn w:val="DefaultParagraphFont"/>
    <w:link w:val="Heading4"/>
    <w:uiPriority w:val="9"/>
    <w:rsid w:val="00D154C7"/>
    <w:rPr>
      <w:rFonts w:asciiTheme="majorHAnsi" w:hAnsiTheme="majorHAnsi"/>
      <w:kern w:val="20"/>
      <w14:ligatures w14:val="standardContextual"/>
      <w14:numForm w14:val="lining"/>
      <w14:numSpacing w14:val="tabular"/>
      <w14:cntxtAlts/>
    </w:rPr>
  </w:style>
  <w:style w:type="paragraph" w:styleId="Subtitle">
    <w:name w:val="Subtitle"/>
    <w:basedOn w:val="Heading2"/>
    <w:next w:val="Normal"/>
    <w:link w:val="SubtitleChar"/>
    <w:uiPriority w:val="11"/>
    <w:rsid w:val="00263602"/>
    <w:pPr>
      <w:spacing w:after="600"/>
      <w:outlineLvl w:val="9"/>
    </w:pPr>
    <w:rPr>
      <w:b w:val="0"/>
      <w:color w:val="000000" w:themeColor="text1"/>
      <w:sz w:val="24"/>
    </w:rPr>
  </w:style>
  <w:style w:type="character" w:customStyle="1" w:styleId="SubtitleChar">
    <w:name w:val="Subtitle Char"/>
    <w:basedOn w:val="DefaultParagraphFont"/>
    <w:link w:val="Subtitle"/>
    <w:uiPriority w:val="11"/>
    <w:rsid w:val="00263602"/>
    <w:rPr>
      <w:rFonts w:asciiTheme="majorHAnsi" w:hAnsiTheme="majorHAnsi"/>
      <w:color w:val="000000" w:themeColor="text1"/>
      <w:kern w:val="20"/>
      <w:sz w:val="24"/>
      <w14:ligatures w14:val="standardContextual"/>
      <w14:numForm w14:val="lining"/>
      <w14:numSpacing w14:val="tabular"/>
      <w14:cntxtAlts/>
    </w:rPr>
  </w:style>
  <w:style w:type="paragraph" w:styleId="ListParagraph">
    <w:name w:val="List Paragraph"/>
    <w:basedOn w:val="BodyTextIndent"/>
    <w:uiPriority w:val="34"/>
    <w:semiHidden/>
    <w:rsid w:val="00227F89"/>
    <w:pPr>
      <w:contextualSpacing/>
    </w:pPr>
  </w:style>
  <w:style w:type="paragraph" w:styleId="NoSpacing">
    <w:name w:val="No Spacing"/>
    <w:basedOn w:val="Normal"/>
    <w:uiPriority w:val="1"/>
    <w:rsid w:val="00CC7BFE"/>
    <w:pPr>
      <w:spacing w:after="0"/>
      <w:contextualSpacing/>
    </w:pPr>
  </w:style>
  <w:style w:type="paragraph" w:styleId="Quote">
    <w:name w:val="Quote"/>
    <w:basedOn w:val="Normal"/>
    <w:next w:val="Normal"/>
    <w:link w:val="QuoteChar"/>
    <w:uiPriority w:val="29"/>
    <w:rsid w:val="000A6849"/>
    <w:pPr>
      <w:spacing w:before="160"/>
      <w:ind w:left="567" w:right="567"/>
    </w:pPr>
  </w:style>
  <w:style w:type="character" w:customStyle="1" w:styleId="QuoteChar">
    <w:name w:val="Quote Char"/>
    <w:basedOn w:val="DefaultParagraphFont"/>
    <w:link w:val="Quote"/>
    <w:uiPriority w:val="29"/>
    <w:rsid w:val="001D78E5"/>
    <w:rPr>
      <w:sz w:val="20"/>
    </w:rPr>
  </w:style>
  <w:style w:type="paragraph" w:styleId="IntenseQuote">
    <w:name w:val="Intense Quote"/>
    <w:basedOn w:val="Normal"/>
    <w:next w:val="Normal"/>
    <w:link w:val="IntenseQuoteChar"/>
    <w:uiPriority w:val="30"/>
    <w:rsid w:val="004D2156"/>
    <w:rPr>
      <w:sz w:val="28"/>
      <w:szCs w:val="30"/>
    </w:rPr>
  </w:style>
  <w:style w:type="character" w:customStyle="1" w:styleId="IntenseQuoteChar">
    <w:name w:val="Intense Quote Char"/>
    <w:basedOn w:val="DefaultParagraphFont"/>
    <w:link w:val="IntenseQuote"/>
    <w:uiPriority w:val="30"/>
    <w:rsid w:val="004D2156"/>
    <w:rPr>
      <w:kern w:val="20"/>
      <w:sz w:val="28"/>
      <w:szCs w:val="30"/>
      <w14:ligatures w14:val="standardContextual"/>
      <w14:numForm w14:val="lining"/>
      <w14:numSpacing w14:val="tabular"/>
      <w14:cntxtAlts/>
    </w:rPr>
  </w:style>
  <w:style w:type="character" w:customStyle="1" w:styleId="Heading5Char">
    <w:name w:val="Heading 5 Char"/>
    <w:basedOn w:val="DefaultParagraphFont"/>
    <w:link w:val="Heading5"/>
    <w:uiPriority w:val="9"/>
    <w:rsid w:val="001D78E5"/>
    <w:rPr>
      <w:smallCaps/>
      <w:sz w:val="20"/>
    </w:rPr>
  </w:style>
  <w:style w:type="character" w:customStyle="1" w:styleId="Heading6Char">
    <w:name w:val="Heading 6 Char"/>
    <w:basedOn w:val="DefaultParagraphFont"/>
    <w:link w:val="Heading6"/>
    <w:uiPriority w:val="9"/>
    <w:semiHidden/>
    <w:rsid w:val="00EF13D5"/>
    <w:rPr>
      <w:smallCaps/>
      <w:kern w:val="20"/>
      <w14:ligatures w14:val="standardContextual"/>
      <w14:numForm w14:val="lining"/>
      <w14:numSpacing w14:val="tabular"/>
      <w14:cntxtAlts/>
    </w:rPr>
  </w:style>
  <w:style w:type="character" w:customStyle="1" w:styleId="Heading7Char">
    <w:name w:val="Heading 7 Char"/>
    <w:basedOn w:val="DefaultParagraphFont"/>
    <w:link w:val="Heading7"/>
    <w:uiPriority w:val="9"/>
    <w:semiHidden/>
    <w:rsid w:val="00EF13D5"/>
    <w:rPr>
      <w:smallCaps/>
      <w:kern w:val="20"/>
      <w14:ligatures w14:val="standardContextual"/>
      <w14:numForm w14:val="lining"/>
      <w14:numSpacing w14:val="tabular"/>
      <w14:cntxtAlts/>
    </w:rPr>
  </w:style>
  <w:style w:type="character" w:styleId="IntenseEmphasis">
    <w:name w:val="Intense Emphasis"/>
    <w:uiPriority w:val="21"/>
    <w:rsid w:val="00EF13D5"/>
    <w:rPr>
      <w:b/>
      <w:bCs/>
      <w:color w:val="AD003D" w:themeColor="accent1"/>
    </w:rPr>
  </w:style>
  <w:style w:type="character" w:styleId="SubtleEmphasis">
    <w:name w:val="Subtle Emphasis"/>
    <w:uiPriority w:val="19"/>
    <w:rsid w:val="00EF13D5"/>
    <w:rPr>
      <w:color w:val="8F7C5D" w:themeColor="background2" w:themeShade="80"/>
    </w:rPr>
  </w:style>
  <w:style w:type="character" w:customStyle="1" w:styleId="Heading8Char">
    <w:name w:val="Heading 8 Char"/>
    <w:basedOn w:val="DefaultParagraphFont"/>
    <w:link w:val="Heading8"/>
    <w:uiPriority w:val="9"/>
    <w:semiHidden/>
    <w:rsid w:val="00EF13D5"/>
    <w:rPr>
      <w:smallCaps/>
      <w:kern w:val="20"/>
      <w14:ligatures w14:val="standardContextual"/>
      <w14:numForm w14:val="lining"/>
      <w14:numSpacing w14:val="tabular"/>
      <w14:cntxtAlts/>
    </w:rPr>
  </w:style>
  <w:style w:type="character" w:customStyle="1" w:styleId="Heading9Char">
    <w:name w:val="Heading 9 Char"/>
    <w:basedOn w:val="DefaultParagraphFont"/>
    <w:link w:val="Heading9"/>
    <w:uiPriority w:val="9"/>
    <w:semiHidden/>
    <w:rsid w:val="00EF13D5"/>
    <w:rPr>
      <w:smallCaps/>
      <w:kern w:val="20"/>
      <w14:ligatures w14:val="standardContextual"/>
      <w14:numForm w14:val="lining"/>
      <w14:numSpacing w14:val="tabular"/>
      <w14:cntxtAlts/>
    </w:rPr>
  </w:style>
  <w:style w:type="table" w:styleId="TableGrid">
    <w:name w:val="Table Grid"/>
    <w:basedOn w:val="TableNormal"/>
    <w:uiPriority w:val="39"/>
    <w:rsid w:val="00D7094D"/>
    <w:pPr>
      <w:spacing w:after="0" w:line="240" w:lineRule="auto"/>
    </w:pPr>
    <w:tblPr>
      <w:tblStyleRowBandSize w:val="1"/>
      <w:tblStyleColBandSize w:val="1"/>
      <w:tblBorders>
        <w:top w:val="single" w:sz="4" w:space="0" w:color="F0EDE8" w:themeColor="background2"/>
        <w:left w:val="single" w:sz="4" w:space="0" w:color="F0EDE8" w:themeColor="background2"/>
        <w:bottom w:val="single" w:sz="4" w:space="0" w:color="F0EDE8" w:themeColor="background2"/>
        <w:right w:val="single" w:sz="4" w:space="0" w:color="F0EDE8" w:themeColor="background2"/>
        <w:insideH w:val="single" w:sz="4" w:space="0" w:color="F0EDE8" w:themeColor="background2"/>
        <w:insideV w:val="single" w:sz="4" w:space="0" w:color="F0EDE8" w:themeColor="background2"/>
      </w:tblBorders>
      <w:tblCellMar>
        <w:top w:w="57" w:type="dxa"/>
        <w:left w:w="85" w:type="dxa"/>
        <w:bottom w:w="28" w:type="dxa"/>
        <w:right w:w="85" w:type="dxa"/>
      </w:tblCellMar>
    </w:tblPr>
    <w:tblStylePr w:type="firstRow">
      <w:pPr>
        <w:keepNext/>
        <w:wordWrap/>
      </w:pPr>
      <w:rPr>
        <w:rFonts w:asciiTheme="minorHAnsi" w:hAnsiTheme="minorHAnsi"/>
        <w:b/>
      </w:rPr>
      <w:tblPr/>
      <w:tcPr>
        <w:shd w:val="clear" w:color="auto" w:fill="F0EDE8" w:themeFill="background2"/>
      </w:tcPr>
    </w:tblStylePr>
    <w:tblStylePr w:type="lastRow">
      <w:rPr>
        <w:rFonts w:asciiTheme="minorHAnsi" w:hAnsiTheme="minorHAnsi"/>
        <w:b/>
      </w:rPr>
      <w:tblPr/>
      <w:tcPr>
        <w:tcBorders>
          <w:top w:val="single" w:sz="4" w:space="0" w:color="870034" w:themeColor="text2"/>
        </w:tcBorders>
      </w:tcPr>
    </w:tblStylePr>
    <w:tblStylePr w:type="firstCol">
      <w:rPr>
        <w:rFonts w:asciiTheme="minorHAnsi" w:hAnsiTheme="minorHAnsi"/>
        <w:b/>
      </w:rPr>
      <w:tblPr/>
      <w:tcPr>
        <w:shd w:val="clear" w:color="auto" w:fill="F0EDE8" w:themeFill="background2"/>
      </w:tcPr>
    </w:tblStylePr>
    <w:tblStylePr w:type="lastCol">
      <w:rPr>
        <w:rFonts w:asciiTheme="minorHAnsi" w:hAnsiTheme="minorHAnsi"/>
        <w:b/>
      </w:rPr>
      <w:tblPr/>
      <w:tcPr>
        <w:tcBorders>
          <w:left w:val="single" w:sz="4" w:space="0" w:color="870034" w:themeColor="text2"/>
        </w:tcBorders>
      </w:tcPr>
    </w:tblStylePr>
    <w:tblStylePr w:type="band1Vert">
      <w:tblPr/>
      <w:tcPr>
        <w:tcBorders>
          <w:left w:val="single" w:sz="4" w:space="0" w:color="870034" w:themeColor="text2"/>
          <w:right w:val="single" w:sz="4" w:space="0" w:color="870034" w:themeColor="text2"/>
        </w:tcBorders>
      </w:tcPr>
    </w:tblStylePr>
    <w:tblStylePr w:type="band2Vert">
      <w:tblPr/>
      <w:tcPr>
        <w:tcBorders>
          <w:left w:val="single" w:sz="4" w:space="0" w:color="870034" w:themeColor="text2"/>
          <w:right w:val="single" w:sz="4" w:space="0" w:color="870034" w:themeColor="text2"/>
        </w:tcBorders>
      </w:tcPr>
    </w:tblStylePr>
    <w:tblStylePr w:type="band1Horz">
      <w:tblPr/>
      <w:tcPr>
        <w:tcBorders>
          <w:top w:val="single" w:sz="4" w:space="0" w:color="870034" w:themeColor="text2"/>
          <w:bottom w:val="single" w:sz="4" w:space="0" w:color="870034" w:themeColor="text2"/>
        </w:tcBorders>
      </w:tcPr>
    </w:tblStylePr>
    <w:tblStylePr w:type="band2Horz">
      <w:tblPr/>
      <w:tcPr>
        <w:tcBorders>
          <w:top w:val="single" w:sz="4" w:space="0" w:color="870034" w:themeColor="text2"/>
          <w:bottom w:val="single" w:sz="4" w:space="0" w:color="870034" w:themeColor="text2"/>
        </w:tcBorders>
      </w:tcPr>
    </w:tblStylePr>
  </w:style>
  <w:style w:type="table" w:styleId="ColourfulListAccent6">
    <w:name w:val="Colorful List Accent 6"/>
    <w:basedOn w:val="TableNormal"/>
    <w:uiPriority w:val="72"/>
    <w:rsid w:val="00F04F4E"/>
    <w:pPr>
      <w:spacing w:after="0" w:line="240" w:lineRule="auto"/>
    </w:pPr>
    <w:rPr>
      <w:color w:val="000000" w:themeColor="text1"/>
    </w:rPr>
    <w:tblPr>
      <w:tblStyleRowBandSize w:val="1"/>
      <w:tblStyleColBandSize w:val="1"/>
    </w:tblPr>
    <w:tcPr>
      <w:shd w:val="clear" w:color="auto" w:fill="FDF4EA" w:themeFill="accent6" w:themeFillTint="19"/>
    </w:tcPr>
    <w:tblStylePr w:type="firstRow">
      <w:rPr>
        <w:b/>
        <w:bCs/>
        <w:color w:val="FFFFFF" w:themeColor="background1"/>
      </w:rPr>
      <w:tblPr/>
      <w:tcPr>
        <w:tcBorders>
          <w:bottom w:val="single" w:sz="12" w:space="0" w:color="FFFFFF" w:themeColor="background1"/>
        </w:tcBorders>
        <w:shd w:val="clear" w:color="auto" w:fill="0C6C41" w:themeFill="accent5" w:themeFillShade="CC"/>
      </w:tcPr>
    </w:tblStylePr>
    <w:tblStylePr w:type="lastRow">
      <w:rPr>
        <w:b/>
        <w:bCs/>
        <w:color w:val="0C6C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CA" w:themeFill="accent6" w:themeFillTint="3F"/>
      </w:tcPr>
    </w:tblStylePr>
    <w:tblStylePr w:type="band1Horz">
      <w:tblPr/>
      <w:tcPr>
        <w:shd w:val="clear" w:color="auto" w:fill="FBE8D5" w:themeFill="accent6" w:themeFillTint="33"/>
      </w:tcPr>
    </w:tblStylePr>
  </w:style>
  <w:style w:type="table" w:styleId="TableTheme">
    <w:name w:val="Table Theme"/>
    <w:basedOn w:val="TableNormal"/>
    <w:uiPriority w:val="99"/>
    <w:rsid w:val="00F0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4F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4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04F4E"/>
    <w:pPr>
      <w:spacing w:after="0" w:line="240" w:lineRule="auto"/>
    </w:pPr>
    <w:tblPr>
      <w:tblStyleRowBandSize w:val="1"/>
      <w:tblStyleColBandSize w:val="1"/>
      <w:tblBorders>
        <w:top w:val="single" w:sz="4" w:space="0" w:color="FF78A7" w:themeColor="accent1" w:themeTint="66"/>
        <w:left w:val="single" w:sz="4" w:space="0" w:color="FF78A7" w:themeColor="accent1" w:themeTint="66"/>
        <w:bottom w:val="single" w:sz="4" w:space="0" w:color="FF78A7" w:themeColor="accent1" w:themeTint="66"/>
        <w:right w:val="single" w:sz="4" w:space="0" w:color="FF78A7" w:themeColor="accent1" w:themeTint="66"/>
        <w:insideH w:val="single" w:sz="4" w:space="0" w:color="FF78A7" w:themeColor="accent1" w:themeTint="66"/>
        <w:insideV w:val="single" w:sz="4" w:space="0" w:color="FF78A7" w:themeColor="accent1" w:themeTint="66"/>
      </w:tblBorders>
    </w:tblPr>
    <w:tblStylePr w:type="firstRow">
      <w:rPr>
        <w:b/>
        <w:bCs/>
      </w:rPr>
      <w:tblPr/>
      <w:tcPr>
        <w:tcBorders>
          <w:bottom w:val="single" w:sz="12" w:space="0" w:color="FF347B" w:themeColor="accent1" w:themeTint="99"/>
        </w:tcBorders>
      </w:tcPr>
    </w:tblStylePr>
    <w:tblStylePr w:type="lastRow">
      <w:rPr>
        <w:b/>
        <w:bCs/>
      </w:rPr>
      <w:tblPr/>
      <w:tcPr>
        <w:tcBorders>
          <w:top w:val="double" w:sz="2" w:space="0" w:color="FF347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04F4E"/>
    <w:pPr>
      <w:spacing w:after="0" w:line="240" w:lineRule="auto"/>
    </w:pPr>
    <w:tblPr>
      <w:tblStyleRowBandSize w:val="1"/>
      <w:tblStyleColBandSize w:val="1"/>
      <w:tblBorders>
        <w:top w:val="single" w:sz="4" w:space="0" w:color="FF347B" w:themeColor="accent1" w:themeTint="99"/>
        <w:left w:val="single" w:sz="4" w:space="0" w:color="FF347B" w:themeColor="accent1" w:themeTint="99"/>
        <w:bottom w:val="single" w:sz="4" w:space="0" w:color="FF347B" w:themeColor="accent1" w:themeTint="99"/>
        <w:right w:val="single" w:sz="4" w:space="0" w:color="FF347B" w:themeColor="accent1" w:themeTint="99"/>
        <w:insideH w:val="single" w:sz="4" w:space="0" w:color="FF347B" w:themeColor="accent1" w:themeTint="99"/>
        <w:insideV w:val="single" w:sz="4" w:space="0" w:color="FF34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bottom w:val="single" w:sz="4" w:space="0" w:color="FF347B" w:themeColor="accent1" w:themeTint="99"/>
        </w:tcBorders>
      </w:tcPr>
    </w:tblStylePr>
    <w:tblStylePr w:type="nwCell">
      <w:tblPr/>
      <w:tcPr>
        <w:tcBorders>
          <w:bottom w:val="single" w:sz="4" w:space="0" w:color="FF347B" w:themeColor="accent1" w:themeTint="99"/>
        </w:tcBorders>
      </w:tcPr>
    </w:tblStylePr>
    <w:tblStylePr w:type="seCell">
      <w:tblPr/>
      <w:tcPr>
        <w:tcBorders>
          <w:top w:val="single" w:sz="4" w:space="0" w:color="FF347B" w:themeColor="accent1" w:themeTint="99"/>
        </w:tcBorders>
      </w:tcPr>
    </w:tblStylePr>
    <w:tblStylePr w:type="swCell">
      <w:tblPr/>
      <w:tcPr>
        <w:tcBorders>
          <w:top w:val="single" w:sz="4" w:space="0" w:color="FF347B" w:themeColor="accent1" w:themeTint="99"/>
        </w:tcBorders>
      </w:tcPr>
    </w:tblStylePr>
  </w:style>
  <w:style w:type="table" w:styleId="GridTable4">
    <w:name w:val="Grid Table 4"/>
    <w:basedOn w:val="TableNormal"/>
    <w:uiPriority w:val="49"/>
    <w:rsid w:val="00F04F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F04F4E"/>
    <w:pPr>
      <w:spacing w:after="0" w:line="240" w:lineRule="auto"/>
    </w:pPr>
    <w:rPr>
      <w:color w:val="0B653D" w:themeColor="accent5" w:themeShade="BF"/>
    </w:rPr>
    <w:tblPr>
      <w:tblStyleRowBandSize w:val="1"/>
      <w:tblStyleColBandSize w:val="1"/>
      <w:tblBorders>
        <w:top w:val="single" w:sz="4" w:space="0" w:color="3CE99C" w:themeColor="accent5" w:themeTint="99"/>
        <w:left w:val="single" w:sz="4" w:space="0" w:color="3CE99C" w:themeColor="accent5" w:themeTint="99"/>
        <w:bottom w:val="single" w:sz="4" w:space="0" w:color="3CE99C" w:themeColor="accent5" w:themeTint="99"/>
        <w:right w:val="single" w:sz="4" w:space="0" w:color="3CE99C" w:themeColor="accent5" w:themeTint="99"/>
        <w:insideH w:val="single" w:sz="4" w:space="0" w:color="3CE99C" w:themeColor="accent5" w:themeTint="99"/>
        <w:insideV w:val="single" w:sz="4" w:space="0" w:color="3CE9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bottom w:val="single" w:sz="4" w:space="0" w:color="3CE99C" w:themeColor="accent5" w:themeTint="99"/>
        </w:tcBorders>
      </w:tcPr>
    </w:tblStylePr>
    <w:tblStylePr w:type="nwCell">
      <w:tblPr/>
      <w:tcPr>
        <w:tcBorders>
          <w:bottom w:val="single" w:sz="4" w:space="0" w:color="3CE99C" w:themeColor="accent5" w:themeTint="99"/>
        </w:tcBorders>
      </w:tcPr>
    </w:tblStylePr>
    <w:tblStylePr w:type="seCell">
      <w:tblPr/>
      <w:tcPr>
        <w:tcBorders>
          <w:top w:val="single" w:sz="4" w:space="0" w:color="3CE99C" w:themeColor="accent5" w:themeTint="99"/>
        </w:tcBorders>
      </w:tcPr>
    </w:tblStylePr>
    <w:tblStylePr w:type="swCell">
      <w:tblPr/>
      <w:tcPr>
        <w:tcBorders>
          <w:top w:val="single" w:sz="4" w:space="0" w:color="3CE99C" w:themeColor="accent5" w:themeTint="99"/>
        </w:tcBorders>
      </w:tcPr>
    </w:tblStylePr>
  </w:style>
  <w:style w:type="table" w:styleId="ListTable1Light-Accent4">
    <w:name w:val="List Table 1 Light Accent 4"/>
    <w:basedOn w:val="TableNormal"/>
    <w:uiPriority w:val="46"/>
    <w:rsid w:val="00F04F4E"/>
    <w:pPr>
      <w:spacing w:after="0" w:line="240" w:lineRule="auto"/>
    </w:pPr>
    <w:tblPr>
      <w:tblStyleRowBandSize w:val="1"/>
      <w:tblStyleColBandSize w:val="1"/>
    </w:tblPr>
    <w:tblStylePr w:type="firstRow">
      <w:rPr>
        <w:b/>
        <w:bCs/>
      </w:rPr>
      <w:tblPr/>
      <w:tcPr>
        <w:tcBorders>
          <w:bottom w:val="single" w:sz="4" w:space="0" w:color="2FFFDF" w:themeColor="accent4" w:themeTint="99"/>
        </w:tcBorders>
      </w:tcPr>
    </w:tblStylePr>
    <w:tblStylePr w:type="lastRow">
      <w:rPr>
        <w:b/>
        <w:bCs/>
      </w:rPr>
      <w:tblPr/>
      <w:tcPr>
        <w:tcBorders>
          <w:top w:val="single" w:sz="4" w:space="0" w:color="2FFFDF" w:themeColor="accent4" w:themeTint="99"/>
        </w:tcBorders>
      </w:tcPr>
    </w:tblStylePr>
    <w:tblStylePr w:type="firstCol">
      <w:rPr>
        <w:b/>
        <w:bCs/>
      </w:rPr>
    </w:tblStylePr>
    <w:tblStylePr w:type="lastCol">
      <w:rPr>
        <w:b/>
        <w:bCs/>
      </w:rPr>
    </w:tblStylePr>
    <w:tblStylePr w:type="band1Vert">
      <w:tblPr/>
      <w:tcPr>
        <w:shd w:val="clear" w:color="auto" w:fill="B9FFF4" w:themeFill="accent4" w:themeFillTint="33"/>
      </w:tcPr>
    </w:tblStylePr>
    <w:tblStylePr w:type="band1Horz">
      <w:tblPr/>
      <w:tcPr>
        <w:shd w:val="clear" w:color="auto" w:fill="B9FFF4" w:themeFill="accent4" w:themeFillTint="33"/>
      </w:tcPr>
    </w:tblStylePr>
  </w:style>
  <w:style w:type="table" w:styleId="ListTable5Dark-Accent3">
    <w:name w:val="List Table 5 Dark Accent 3"/>
    <w:basedOn w:val="TableNormal"/>
    <w:uiPriority w:val="50"/>
    <w:rsid w:val="00F04F4E"/>
    <w:pPr>
      <w:spacing w:after="0" w:line="240" w:lineRule="auto"/>
    </w:pPr>
    <w:rPr>
      <w:color w:val="FFFFFF" w:themeColor="background1"/>
    </w:rPr>
    <w:tblPr>
      <w:tblStyleRowBandSize w:val="1"/>
      <w:tblStyleColBandSize w:val="1"/>
      <w:tblBorders>
        <w:top w:val="single" w:sz="24" w:space="0" w:color="00639C" w:themeColor="accent3"/>
        <w:left w:val="single" w:sz="24" w:space="0" w:color="00639C" w:themeColor="accent3"/>
        <w:bottom w:val="single" w:sz="24" w:space="0" w:color="00639C" w:themeColor="accent3"/>
        <w:right w:val="single" w:sz="24" w:space="0" w:color="00639C" w:themeColor="accent3"/>
      </w:tblBorders>
    </w:tblPr>
    <w:tcPr>
      <w:shd w:val="clear" w:color="auto" w:fill="0063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2">
    <w:name w:val="Plain Table 2"/>
    <w:basedOn w:val="TableNormal"/>
    <w:uiPriority w:val="42"/>
    <w:rsid w:val="00F04F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uiPriority w:val="99"/>
    <w:rsid w:val="00C96A49"/>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7ColourfulAccent2">
    <w:name w:val="Grid Table 7 Colorful Accent 2"/>
    <w:basedOn w:val="TableNormal"/>
    <w:uiPriority w:val="52"/>
    <w:rsid w:val="00F04F4E"/>
    <w:pPr>
      <w:spacing w:after="0" w:line="240" w:lineRule="auto"/>
    </w:pPr>
    <w:rPr>
      <w:color w:val="462761" w:themeColor="accent2" w:themeShade="BF"/>
    </w:rPr>
    <w:tblPr>
      <w:tblStyleRowBandSize w:val="1"/>
      <w:tblStyleColBandSize w:val="1"/>
      <w:tblBorders>
        <w:top w:val="single" w:sz="4" w:space="0" w:color="9F72C6" w:themeColor="accent2" w:themeTint="99"/>
        <w:left w:val="single" w:sz="4" w:space="0" w:color="9F72C6" w:themeColor="accent2" w:themeTint="99"/>
        <w:bottom w:val="single" w:sz="4" w:space="0" w:color="9F72C6" w:themeColor="accent2" w:themeTint="99"/>
        <w:right w:val="single" w:sz="4" w:space="0" w:color="9F72C6" w:themeColor="accent2" w:themeTint="99"/>
        <w:insideH w:val="single" w:sz="4" w:space="0" w:color="9F72C6" w:themeColor="accent2" w:themeTint="99"/>
        <w:insideV w:val="single" w:sz="4" w:space="0" w:color="9F72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0EC" w:themeFill="accent2" w:themeFillTint="33"/>
      </w:tcPr>
    </w:tblStylePr>
    <w:tblStylePr w:type="band1Horz">
      <w:tblPr/>
      <w:tcPr>
        <w:shd w:val="clear" w:color="auto" w:fill="DFD0EC" w:themeFill="accent2" w:themeFillTint="33"/>
      </w:tcPr>
    </w:tblStylePr>
    <w:tblStylePr w:type="neCell">
      <w:tblPr/>
      <w:tcPr>
        <w:tcBorders>
          <w:bottom w:val="single" w:sz="4" w:space="0" w:color="9F72C6" w:themeColor="accent2" w:themeTint="99"/>
        </w:tcBorders>
      </w:tcPr>
    </w:tblStylePr>
    <w:tblStylePr w:type="nwCell">
      <w:tblPr/>
      <w:tcPr>
        <w:tcBorders>
          <w:bottom w:val="single" w:sz="4" w:space="0" w:color="9F72C6" w:themeColor="accent2" w:themeTint="99"/>
        </w:tcBorders>
      </w:tcPr>
    </w:tblStylePr>
    <w:tblStylePr w:type="seCell">
      <w:tblPr/>
      <w:tcPr>
        <w:tcBorders>
          <w:top w:val="single" w:sz="4" w:space="0" w:color="9F72C6" w:themeColor="accent2" w:themeTint="99"/>
        </w:tcBorders>
      </w:tcPr>
    </w:tblStylePr>
    <w:tblStylePr w:type="swCell">
      <w:tblPr/>
      <w:tcPr>
        <w:tcBorders>
          <w:top w:val="single" w:sz="4" w:space="0" w:color="9F72C6" w:themeColor="accent2" w:themeTint="99"/>
        </w:tcBorders>
      </w:tcPr>
    </w:tblStylePr>
  </w:style>
  <w:style w:type="table" w:styleId="GridTable1Light">
    <w:name w:val="Grid Table 1 Light"/>
    <w:basedOn w:val="TableNormal"/>
    <w:uiPriority w:val="46"/>
    <w:rsid w:val="00F04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BodyText3"/>
    <w:link w:val="FootnoteTextChar"/>
    <w:uiPriority w:val="99"/>
    <w:semiHidden/>
    <w:rsid w:val="001D78E5"/>
    <w:pPr>
      <w:spacing w:after="0"/>
      <w:ind w:left="284" w:hanging="284"/>
    </w:pPr>
  </w:style>
  <w:style w:type="character" w:customStyle="1" w:styleId="FootnoteTextChar">
    <w:name w:val="Footnote Text Char"/>
    <w:basedOn w:val="DefaultParagraphFont"/>
    <w:link w:val="FootnoteText"/>
    <w:uiPriority w:val="99"/>
    <w:semiHidden/>
    <w:rsid w:val="001D78E5"/>
    <w:rPr>
      <w:sz w:val="16"/>
    </w:rPr>
  </w:style>
  <w:style w:type="character" w:styleId="FootnoteReference">
    <w:name w:val="footnote reference"/>
    <w:basedOn w:val="FootnoteTextChar"/>
    <w:uiPriority w:val="99"/>
    <w:semiHidden/>
    <w:rsid w:val="001D78E5"/>
    <w:rPr>
      <w:color w:val="AD003D" w:themeColor="accent1"/>
      <w:sz w:val="20"/>
      <w:vertAlign w:val="superscript"/>
    </w:rPr>
  </w:style>
  <w:style w:type="paragraph" w:styleId="TOCHeading">
    <w:name w:val="TOC Heading"/>
    <w:basedOn w:val="Heading1BodyText"/>
    <w:next w:val="Normal"/>
    <w:uiPriority w:val="39"/>
    <w:semiHidden/>
    <w:qFormat/>
    <w:rsid w:val="005424C3"/>
  </w:style>
  <w:style w:type="paragraph" w:styleId="TOC1">
    <w:name w:val="toc 1"/>
    <w:basedOn w:val="NoSpacing"/>
    <w:next w:val="Normal"/>
    <w:uiPriority w:val="39"/>
    <w:semiHidden/>
    <w:rsid w:val="00DD49DD"/>
    <w:pPr>
      <w:tabs>
        <w:tab w:val="right" w:leader="dot" w:pos="9639"/>
      </w:tabs>
      <w:ind w:left="567" w:hanging="567"/>
    </w:pPr>
    <w:rPr>
      <w:noProof/>
    </w:rPr>
  </w:style>
  <w:style w:type="paragraph" w:styleId="TOC2">
    <w:name w:val="toc 2"/>
    <w:basedOn w:val="TOC1"/>
    <w:next w:val="Normal"/>
    <w:uiPriority w:val="39"/>
    <w:semiHidden/>
    <w:rsid w:val="00DD49DD"/>
    <w:pPr>
      <w:ind w:left="851"/>
    </w:pPr>
  </w:style>
  <w:style w:type="paragraph" w:styleId="TOC3">
    <w:name w:val="toc 3"/>
    <w:basedOn w:val="TOC1"/>
    <w:next w:val="Normal"/>
    <w:uiPriority w:val="39"/>
    <w:semiHidden/>
    <w:rsid w:val="00DD49DD"/>
    <w:pPr>
      <w:ind w:left="1134"/>
    </w:pPr>
  </w:style>
  <w:style w:type="character" w:styleId="Hyperlink">
    <w:name w:val="Hyperlink"/>
    <w:basedOn w:val="DefaultParagraphFont"/>
    <w:uiPriority w:val="99"/>
    <w:semiHidden/>
    <w:rsid w:val="00263602"/>
    <w:rPr>
      <w:color w:val="00639C" w:themeColor="accent3"/>
      <w:u w:val="dotted" w:color="3D8B7A"/>
    </w:rPr>
  </w:style>
  <w:style w:type="paragraph" w:styleId="Caption">
    <w:name w:val="caption"/>
    <w:basedOn w:val="BodyText3"/>
    <w:next w:val="Normal"/>
    <w:uiPriority w:val="35"/>
    <w:semiHidden/>
    <w:qFormat/>
    <w:rsid w:val="00CE4209"/>
    <w:pPr>
      <w:spacing w:before="160"/>
    </w:pPr>
  </w:style>
  <w:style w:type="paragraph" w:styleId="TOAHeading">
    <w:name w:val="toa heading"/>
    <w:basedOn w:val="Heading1BodyText"/>
    <w:next w:val="Normal"/>
    <w:uiPriority w:val="99"/>
    <w:semiHidden/>
    <w:rsid w:val="005424C3"/>
  </w:style>
  <w:style w:type="paragraph" w:styleId="TableofAuthorities">
    <w:name w:val="table of authorities"/>
    <w:basedOn w:val="TOC1"/>
    <w:next w:val="Normal"/>
    <w:uiPriority w:val="99"/>
    <w:semiHidden/>
    <w:rsid w:val="0074030F"/>
  </w:style>
  <w:style w:type="paragraph" w:styleId="TableofFigures">
    <w:name w:val="table of figures"/>
    <w:basedOn w:val="TOC1"/>
    <w:next w:val="Normal"/>
    <w:uiPriority w:val="99"/>
    <w:semiHidden/>
    <w:rsid w:val="0074030F"/>
  </w:style>
  <w:style w:type="paragraph" w:styleId="Bibliography">
    <w:name w:val="Bibliography"/>
    <w:basedOn w:val="TOC1"/>
    <w:next w:val="Normal"/>
    <w:uiPriority w:val="37"/>
    <w:semiHidden/>
    <w:rsid w:val="0074030F"/>
  </w:style>
  <w:style w:type="paragraph" w:styleId="TOC4">
    <w:name w:val="toc 4"/>
    <w:basedOn w:val="TOC1"/>
    <w:next w:val="Normal"/>
    <w:uiPriority w:val="39"/>
    <w:semiHidden/>
    <w:rsid w:val="00DD49DD"/>
    <w:pPr>
      <w:ind w:left="1418"/>
    </w:pPr>
  </w:style>
  <w:style w:type="paragraph" w:styleId="TOC5">
    <w:name w:val="toc 5"/>
    <w:basedOn w:val="TOC1"/>
    <w:next w:val="Normal"/>
    <w:uiPriority w:val="39"/>
    <w:semiHidden/>
    <w:rsid w:val="00DD49DD"/>
    <w:pPr>
      <w:ind w:left="1701"/>
    </w:pPr>
  </w:style>
  <w:style w:type="paragraph" w:styleId="TOC6">
    <w:name w:val="toc 6"/>
    <w:basedOn w:val="TOC1"/>
    <w:next w:val="Normal"/>
    <w:uiPriority w:val="39"/>
    <w:semiHidden/>
    <w:rsid w:val="00DD49DD"/>
    <w:pPr>
      <w:ind w:left="1985"/>
    </w:pPr>
  </w:style>
  <w:style w:type="paragraph" w:styleId="TOC7">
    <w:name w:val="toc 7"/>
    <w:basedOn w:val="TOC1"/>
    <w:next w:val="Normal"/>
    <w:uiPriority w:val="39"/>
    <w:semiHidden/>
    <w:rsid w:val="00DD49DD"/>
    <w:pPr>
      <w:ind w:left="2268"/>
    </w:pPr>
  </w:style>
  <w:style w:type="paragraph" w:styleId="TOC8">
    <w:name w:val="toc 8"/>
    <w:basedOn w:val="TOC1"/>
    <w:next w:val="Normal"/>
    <w:uiPriority w:val="39"/>
    <w:semiHidden/>
    <w:rsid w:val="00DD49DD"/>
    <w:pPr>
      <w:ind w:left="2552"/>
    </w:pPr>
  </w:style>
  <w:style w:type="paragraph" w:styleId="TOC9">
    <w:name w:val="toc 9"/>
    <w:basedOn w:val="TOC1"/>
    <w:next w:val="Normal"/>
    <w:uiPriority w:val="39"/>
    <w:semiHidden/>
    <w:rsid w:val="00DD49DD"/>
    <w:pPr>
      <w:ind w:left="2835"/>
    </w:pPr>
  </w:style>
  <w:style w:type="paragraph" w:styleId="Header">
    <w:name w:val="header"/>
    <w:basedOn w:val="BodyText3"/>
    <w:link w:val="HeaderChar"/>
    <w:uiPriority w:val="99"/>
    <w:semiHidden/>
    <w:rsid w:val="00CE4209"/>
    <w:pPr>
      <w:spacing w:after="0"/>
      <w:contextualSpacing/>
      <w:jc w:val="right"/>
    </w:pPr>
    <w:rPr>
      <w:color w:val="7F7F7F" w:themeColor="text1" w:themeTint="80"/>
    </w:rPr>
  </w:style>
  <w:style w:type="character" w:customStyle="1" w:styleId="HeaderChar">
    <w:name w:val="Header Char"/>
    <w:basedOn w:val="DefaultParagraphFont"/>
    <w:link w:val="Header"/>
    <w:uiPriority w:val="99"/>
    <w:semiHidden/>
    <w:rsid w:val="001D78E5"/>
    <w:rPr>
      <w:color w:val="7F7F7F" w:themeColor="text1" w:themeTint="80"/>
      <w:sz w:val="16"/>
    </w:rPr>
  </w:style>
  <w:style w:type="paragraph" w:styleId="Footer">
    <w:name w:val="footer"/>
    <w:basedOn w:val="Header"/>
    <w:link w:val="FooterChar"/>
    <w:uiPriority w:val="99"/>
    <w:semiHidden/>
    <w:rsid w:val="0074030F"/>
  </w:style>
  <w:style w:type="character" w:customStyle="1" w:styleId="FooterChar">
    <w:name w:val="Footer Char"/>
    <w:basedOn w:val="DefaultParagraphFont"/>
    <w:link w:val="Footer"/>
    <w:uiPriority w:val="99"/>
    <w:semiHidden/>
    <w:rsid w:val="001D78E5"/>
    <w:rPr>
      <w:color w:val="7F7F7F" w:themeColor="text1" w:themeTint="80"/>
      <w:sz w:val="16"/>
    </w:rPr>
  </w:style>
  <w:style w:type="paragraph" w:styleId="BodyText3">
    <w:name w:val="Body Text 3"/>
    <w:basedOn w:val="BodyText"/>
    <w:link w:val="BodyText3Char"/>
    <w:uiPriority w:val="99"/>
    <w:semiHidden/>
    <w:rsid w:val="006C7FF8"/>
    <w:rPr>
      <w:sz w:val="16"/>
    </w:rPr>
  </w:style>
  <w:style w:type="character" w:customStyle="1" w:styleId="BodyText3Char">
    <w:name w:val="Body Text 3 Char"/>
    <w:basedOn w:val="DefaultParagraphFont"/>
    <w:link w:val="BodyText3"/>
    <w:uiPriority w:val="99"/>
    <w:semiHidden/>
    <w:rsid w:val="001D78E5"/>
    <w:rPr>
      <w:sz w:val="16"/>
    </w:rPr>
  </w:style>
  <w:style w:type="paragraph" w:styleId="BodyText">
    <w:name w:val="Body Text"/>
    <w:basedOn w:val="Normal"/>
    <w:link w:val="BodyTextChar"/>
    <w:uiPriority w:val="99"/>
    <w:semiHidden/>
    <w:rsid w:val="0074030F"/>
  </w:style>
  <w:style w:type="character" w:customStyle="1" w:styleId="BodyTextChar">
    <w:name w:val="Body Text Char"/>
    <w:basedOn w:val="DefaultParagraphFont"/>
    <w:link w:val="BodyText"/>
    <w:uiPriority w:val="99"/>
    <w:semiHidden/>
    <w:rsid w:val="001D78E5"/>
    <w:rPr>
      <w:sz w:val="20"/>
    </w:rPr>
  </w:style>
  <w:style w:type="paragraph" w:styleId="BodyText2">
    <w:name w:val="Body Text 2"/>
    <w:basedOn w:val="BodyText"/>
    <w:link w:val="BodyText2Char"/>
    <w:uiPriority w:val="99"/>
    <w:semiHidden/>
    <w:rsid w:val="006C7FF8"/>
    <w:pPr>
      <w:spacing w:line="360" w:lineRule="auto"/>
    </w:pPr>
  </w:style>
  <w:style w:type="character" w:customStyle="1" w:styleId="BodyText2Char">
    <w:name w:val="Body Text 2 Char"/>
    <w:basedOn w:val="DefaultParagraphFont"/>
    <w:link w:val="BodyText2"/>
    <w:uiPriority w:val="99"/>
    <w:semiHidden/>
    <w:rsid w:val="001D78E5"/>
    <w:rPr>
      <w:sz w:val="20"/>
    </w:rPr>
  </w:style>
  <w:style w:type="paragraph" w:styleId="BodyTextFirstIndent">
    <w:name w:val="Body Text First Indent"/>
    <w:basedOn w:val="BodyText"/>
    <w:link w:val="BodyTextFirstIndentChar"/>
    <w:uiPriority w:val="99"/>
    <w:semiHidden/>
    <w:rsid w:val="008C0686"/>
    <w:pPr>
      <w:ind w:firstLine="567"/>
    </w:pPr>
  </w:style>
  <w:style w:type="character" w:customStyle="1" w:styleId="BodyTextFirstIndentChar">
    <w:name w:val="Body Text First Indent Char"/>
    <w:basedOn w:val="BodyTextChar"/>
    <w:link w:val="BodyTextFirstIndent"/>
    <w:uiPriority w:val="99"/>
    <w:semiHidden/>
    <w:rsid w:val="001D78E5"/>
    <w:rPr>
      <w:sz w:val="20"/>
    </w:rPr>
  </w:style>
  <w:style w:type="paragraph" w:styleId="BodyTextIndent">
    <w:name w:val="Body Text Indent"/>
    <w:basedOn w:val="BodyText"/>
    <w:link w:val="BodyTextIndentChar"/>
    <w:uiPriority w:val="99"/>
    <w:semiHidden/>
    <w:rsid w:val="00227F89"/>
    <w:pPr>
      <w:ind w:left="567"/>
    </w:pPr>
  </w:style>
  <w:style w:type="character" w:customStyle="1" w:styleId="BodyTextIndentChar">
    <w:name w:val="Body Text Indent Char"/>
    <w:basedOn w:val="DefaultParagraphFont"/>
    <w:link w:val="BodyTextIndent"/>
    <w:uiPriority w:val="99"/>
    <w:semiHidden/>
    <w:rsid w:val="001D78E5"/>
    <w:rPr>
      <w:sz w:val="20"/>
    </w:rPr>
  </w:style>
  <w:style w:type="paragraph" w:styleId="BodyTextFirstIndent2">
    <w:name w:val="Body Text First Indent 2"/>
    <w:basedOn w:val="BodyText3"/>
    <w:link w:val="BodyTextFirstIndent2Char"/>
    <w:uiPriority w:val="99"/>
    <w:semiHidden/>
    <w:rsid w:val="008C0686"/>
    <w:pPr>
      <w:ind w:firstLine="284"/>
    </w:pPr>
  </w:style>
  <w:style w:type="character" w:customStyle="1" w:styleId="BodyTextFirstIndent2Char">
    <w:name w:val="Body Text First Indent 2 Char"/>
    <w:basedOn w:val="BodyTextIndentChar"/>
    <w:link w:val="BodyTextFirstIndent2"/>
    <w:uiPriority w:val="99"/>
    <w:semiHidden/>
    <w:rsid w:val="001D78E5"/>
    <w:rPr>
      <w:sz w:val="16"/>
    </w:rPr>
  </w:style>
  <w:style w:type="paragraph" w:styleId="BodyTextIndent2">
    <w:name w:val="Body Text Indent 2"/>
    <w:basedOn w:val="BodyText2"/>
    <w:link w:val="BodyTextIndent2Char"/>
    <w:uiPriority w:val="99"/>
    <w:semiHidden/>
    <w:rsid w:val="006C7FF8"/>
    <w:pPr>
      <w:ind w:left="567"/>
    </w:pPr>
  </w:style>
  <w:style w:type="character" w:customStyle="1" w:styleId="BodyTextIndent2Char">
    <w:name w:val="Body Text Indent 2 Char"/>
    <w:basedOn w:val="DefaultParagraphFont"/>
    <w:link w:val="BodyTextIndent2"/>
    <w:uiPriority w:val="99"/>
    <w:semiHidden/>
    <w:rsid w:val="001D78E5"/>
    <w:rPr>
      <w:sz w:val="20"/>
    </w:rPr>
  </w:style>
  <w:style w:type="paragraph" w:styleId="BodyTextIndent3">
    <w:name w:val="Body Text Indent 3"/>
    <w:basedOn w:val="BodyText3"/>
    <w:link w:val="BodyTextIndent3Char"/>
    <w:uiPriority w:val="99"/>
    <w:semiHidden/>
    <w:rsid w:val="008C0686"/>
    <w:pPr>
      <w:ind w:left="284"/>
    </w:pPr>
  </w:style>
  <w:style w:type="character" w:customStyle="1" w:styleId="BodyTextIndent3Char">
    <w:name w:val="Body Text Indent 3 Char"/>
    <w:basedOn w:val="DefaultParagraphFont"/>
    <w:link w:val="BodyTextIndent3"/>
    <w:uiPriority w:val="99"/>
    <w:semiHidden/>
    <w:rsid w:val="001D78E5"/>
    <w:rPr>
      <w:sz w:val="16"/>
    </w:rPr>
  </w:style>
  <w:style w:type="character" w:styleId="CommentReference">
    <w:name w:val="annotation reference"/>
    <w:basedOn w:val="CommentSubjectChar"/>
    <w:uiPriority w:val="99"/>
    <w:semiHidden/>
    <w:rsid w:val="006C7FF8"/>
    <w:rPr>
      <w:b/>
      <w:noProof/>
      <w:sz w:val="16"/>
    </w:rPr>
  </w:style>
  <w:style w:type="paragraph" w:styleId="CommentText">
    <w:name w:val="annotation text"/>
    <w:basedOn w:val="BodyText3"/>
    <w:link w:val="CommentTextChar"/>
    <w:uiPriority w:val="99"/>
    <w:semiHidden/>
    <w:rsid w:val="00DD49DD"/>
    <w:rPr>
      <w:noProof/>
    </w:rPr>
  </w:style>
  <w:style w:type="character" w:customStyle="1" w:styleId="CommentTextChar">
    <w:name w:val="Comment Text Char"/>
    <w:basedOn w:val="DefaultParagraphFont"/>
    <w:link w:val="CommentText"/>
    <w:uiPriority w:val="99"/>
    <w:semiHidden/>
    <w:rsid w:val="001D78E5"/>
    <w:rPr>
      <w:noProof/>
      <w:sz w:val="16"/>
    </w:rPr>
  </w:style>
  <w:style w:type="paragraph" w:styleId="CommentSubject">
    <w:name w:val="annotation subject"/>
    <w:basedOn w:val="CommentText"/>
    <w:next w:val="CommentText"/>
    <w:link w:val="CommentSubjectChar"/>
    <w:uiPriority w:val="99"/>
    <w:semiHidden/>
    <w:rsid w:val="000E1194"/>
    <w:rPr>
      <w:b/>
    </w:rPr>
  </w:style>
  <w:style w:type="character" w:customStyle="1" w:styleId="CommentSubjectChar">
    <w:name w:val="Comment Subject Char"/>
    <w:basedOn w:val="CommentTextChar"/>
    <w:link w:val="CommentSubject"/>
    <w:uiPriority w:val="99"/>
    <w:semiHidden/>
    <w:rsid w:val="001D78E5"/>
    <w:rPr>
      <w:b/>
      <w:noProof/>
      <w:sz w:val="16"/>
    </w:rPr>
  </w:style>
  <w:style w:type="paragraph" w:styleId="BalloonText">
    <w:name w:val="Balloon Text"/>
    <w:basedOn w:val="CommentText"/>
    <w:link w:val="BalloonTextChar"/>
    <w:uiPriority w:val="99"/>
    <w:semiHidden/>
    <w:rsid w:val="000E1194"/>
  </w:style>
  <w:style w:type="character" w:customStyle="1" w:styleId="BalloonTextChar">
    <w:name w:val="Balloon Text Char"/>
    <w:basedOn w:val="DefaultParagraphFont"/>
    <w:link w:val="BalloonText"/>
    <w:uiPriority w:val="99"/>
    <w:semiHidden/>
    <w:rsid w:val="001D78E5"/>
    <w:rPr>
      <w:noProof/>
      <w:sz w:val="16"/>
    </w:rPr>
  </w:style>
  <w:style w:type="paragraph" w:styleId="DocumentMap">
    <w:name w:val="Document Map"/>
    <w:basedOn w:val="BodyText3"/>
    <w:link w:val="DocumentMapChar"/>
    <w:uiPriority w:val="99"/>
    <w:semiHidden/>
    <w:rsid w:val="000E1194"/>
  </w:style>
  <w:style w:type="character" w:customStyle="1" w:styleId="DocumentMapChar">
    <w:name w:val="Document Map Char"/>
    <w:basedOn w:val="DefaultParagraphFont"/>
    <w:link w:val="DocumentMap"/>
    <w:uiPriority w:val="99"/>
    <w:semiHidden/>
    <w:rsid w:val="001D78E5"/>
    <w:rPr>
      <w:sz w:val="16"/>
    </w:rPr>
  </w:style>
  <w:style w:type="paragraph" w:styleId="Closing">
    <w:name w:val="Closing"/>
    <w:basedOn w:val="Normal"/>
    <w:link w:val="ClosingChar"/>
    <w:uiPriority w:val="99"/>
    <w:semiHidden/>
    <w:rsid w:val="000E1194"/>
  </w:style>
  <w:style w:type="character" w:customStyle="1" w:styleId="ClosingChar">
    <w:name w:val="Closing Char"/>
    <w:basedOn w:val="DefaultParagraphFont"/>
    <w:link w:val="Closing"/>
    <w:uiPriority w:val="99"/>
    <w:semiHidden/>
    <w:rsid w:val="001D78E5"/>
    <w:rPr>
      <w:sz w:val="20"/>
    </w:rPr>
  </w:style>
  <w:style w:type="paragraph" w:styleId="EmailSignature">
    <w:name w:val="E-mail Signature"/>
    <w:basedOn w:val="Signature"/>
    <w:link w:val="EmailSignatureChar"/>
    <w:uiPriority w:val="99"/>
    <w:semiHidden/>
    <w:rsid w:val="00BB1312"/>
  </w:style>
  <w:style w:type="character" w:customStyle="1" w:styleId="EmailSignatureChar">
    <w:name w:val="Email Signature Char"/>
    <w:basedOn w:val="DefaultParagraphFont"/>
    <w:link w:val="EmailSignature"/>
    <w:uiPriority w:val="99"/>
    <w:semiHidden/>
    <w:rsid w:val="001D78E5"/>
    <w:rPr>
      <w:sz w:val="20"/>
    </w:rPr>
  </w:style>
  <w:style w:type="paragraph" w:styleId="EndnoteText">
    <w:name w:val="endnote text"/>
    <w:basedOn w:val="FootnoteText"/>
    <w:link w:val="EndnoteTextChar"/>
    <w:uiPriority w:val="99"/>
    <w:semiHidden/>
    <w:rsid w:val="000E1194"/>
  </w:style>
  <w:style w:type="character" w:customStyle="1" w:styleId="EndnoteTextChar">
    <w:name w:val="Endnote Text Char"/>
    <w:basedOn w:val="DefaultParagraphFont"/>
    <w:link w:val="EndnoteText"/>
    <w:uiPriority w:val="99"/>
    <w:semiHidden/>
    <w:rsid w:val="001D78E5"/>
    <w:rPr>
      <w:sz w:val="16"/>
    </w:rPr>
  </w:style>
  <w:style w:type="character" w:styleId="EndnoteReference">
    <w:name w:val="endnote reference"/>
    <w:basedOn w:val="FootnoteReference"/>
    <w:uiPriority w:val="99"/>
    <w:semiHidden/>
    <w:rsid w:val="008C0686"/>
    <w:rPr>
      <w:color w:val="AD003D" w:themeColor="accent1"/>
      <w:sz w:val="20"/>
      <w:vertAlign w:val="superscript"/>
    </w:rPr>
  </w:style>
  <w:style w:type="paragraph" w:styleId="Signature">
    <w:name w:val="Signature"/>
    <w:basedOn w:val="NoSpacing"/>
    <w:link w:val="SignatureChar"/>
    <w:uiPriority w:val="99"/>
    <w:semiHidden/>
    <w:rsid w:val="000A6849"/>
  </w:style>
  <w:style w:type="character" w:customStyle="1" w:styleId="SignatureChar">
    <w:name w:val="Signature Char"/>
    <w:basedOn w:val="DefaultParagraphFont"/>
    <w:link w:val="Signature"/>
    <w:uiPriority w:val="99"/>
    <w:semiHidden/>
    <w:rsid w:val="001D78E5"/>
    <w:rPr>
      <w:sz w:val="20"/>
    </w:rPr>
  </w:style>
  <w:style w:type="paragraph" w:styleId="Salutation">
    <w:name w:val="Salutation"/>
    <w:basedOn w:val="Normal"/>
    <w:next w:val="Normal"/>
    <w:link w:val="SalutationChar"/>
    <w:uiPriority w:val="99"/>
    <w:semiHidden/>
    <w:rsid w:val="000E1194"/>
  </w:style>
  <w:style w:type="character" w:customStyle="1" w:styleId="SalutationChar">
    <w:name w:val="Salutation Char"/>
    <w:basedOn w:val="DefaultParagraphFont"/>
    <w:link w:val="Salutation"/>
    <w:uiPriority w:val="99"/>
    <w:semiHidden/>
    <w:rsid w:val="001D78E5"/>
    <w:rPr>
      <w:sz w:val="20"/>
    </w:rPr>
  </w:style>
  <w:style w:type="character" w:styleId="BookTitle">
    <w:name w:val="Book Title"/>
    <w:uiPriority w:val="33"/>
    <w:unhideWhenUsed/>
    <w:rsid w:val="00227F89"/>
    <w:rPr>
      <w:i/>
    </w:rPr>
  </w:style>
  <w:style w:type="character" w:styleId="IntenseReference">
    <w:name w:val="Intense Reference"/>
    <w:basedOn w:val="SubtleReference"/>
    <w:uiPriority w:val="32"/>
    <w:semiHidden/>
    <w:rsid w:val="005424C3"/>
    <w:rPr>
      <w:i/>
      <w:color w:val="AD003D" w:themeColor="accent1"/>
    </w:rPr>
  </w:style>
  <w:style w:type="character" w:styleId="SubtleReference">
    <w:name w:val="Subtle Reference"/>
    <w:basedOn w:val="BookTitle"/>
    <w:uiPriority w:val="31"/>
    <w:semiHidden/>
    <w:rsid w:val="005424C3"/>
    <w:rPr>
      <w:i/>
      <w:color w:val="7F7F7F" w:themeColor="text1" w:themeTint="80"/>
    </w:rPr>
  </w:style>
  <w:style w:type="paragraph" w:styleId="Index1">
    <w:name w:val="index 1"/>
    <w:basedOn w:val="TOC1"/>
    <w:next w:val="Normal"/>
    <w:autoRedefine/>
    <w:uiPriority w:val="99"/>
    <w:semiHidden/>
    <w:rsid w:val="00BB1312"/>
    <w:pPr>
      <w:tabs>
        <w:tab w:val="clear" w:pos="9639"/>
        <w:tab w:val="right" w:leader="dot" w:pos="9628"/>
      </w:tabs>
    </w:pPr>
  </w:style>
  <w:style w:type="paragraph" w:styleId="IndexHeading">
    <w:name w:val="index heading"/>
    <w:basedOn w:val="Heading1BodyText"/>
    <w:next w:val="Index1"/>
    <w:uiPriority w:val="99"/>
    <w:semiHidden/>
    <w:rsid w:val="005424C3"/>
  </w:style>
  <w:style w:type="paragraph" w:styleId="EnvelopeAddress">
    <w:name w:val="envelope address"/>
    <w:basedOn w:val="Normal"/>
    <w:uiPriority w:val="99"/>
    <w:semiHidden/>
    <w:rsid w:val="00BB1312"/>
    <w:pPr>
      <w:framePr w:hSpace="567" w:wrap="notBeside" w:vAnchor="text" w:hAnchor="text" w:xAlign="right" w:y="1" w:anchorLock="1"/>
      <w:contextualSpacing/>
    </w:pPr>
  </w:style>
  <w:style w:type="paragraph" w:styleId="EnvelopeReturn">
    <w:name w:val="envelope return"/>
    <w:basedOn w:val="EnvelopeAddress"/>
    <w:uiPriority w:val="99"/>
    <w:semiHidden/>
    <w:rsid w:val="006C7FF8"/>
    <w:pPr>
      <w:framePr w:wrap="notBeside"/>
    </w:pPr>
  </w:style>
  <w:style w:type="character" w:styleId="HTMLAcronym">
    <w:name w:val="HTML Acronym"/>
    <w:basedOn w:val="BookTitle"/>
    <w:uiPriority w:val="99"/>
    <w:semiHidden/>
    <w:rsid w:val="008C0686"/>
    <w:rPr>
      <w:i/>
    </w:rPr>
  </w:style>
  <w:style w:type="paragraph" w:styleId="HTMLAddress">
    <w:name w:val="HTML Address"/>
    <w:basedOn w:val="Normal"/>
    <w:link w:val="HTMLAddressChar"/>
    <w:uiPriority w:val="99"/>
    <w:semiHidden/>
    <w:rsid w:val="00BB1312"/>
    <w:rPr>
      <w:rFonts w:ascii="Arial Narrow" w:hAnsi="Arial Narrow"/>
      <w:color w:val="5E3482" w:themeColor="accent2"/>
    </w:rPr>
  </w:style>
  <w:style w:type="character" w:customStyle="1" w:styleId="HTMLAddressChar">
    <w:name w:val="HTML Address Char"/>
    <w:basedOn w:val="DefaultParagraphFont"/>
    <w:link w:val="HTMLAddress"/>
    <w:uiPriority w:val="99"/>
    <w:semiHidden/>
    <w:rsid w:val="001D78E5"/>
    <w:rPr>
      <w:rFonts w:ascii="Arial Narrow" w:hAnsi="Arial Narrow"/>
      <w:color w:val="5E3482" w:themeColor="accent2"/>
      <w:sz w:val="20"/>
    </w:rPr>
  </w:style>
  <w:style w:type="character" w:styleId="HTMLCite">
    <w:name w:val="HTML Cite"/>
    <w:basedOn w:val="BookTitle"/>
    <w:uiPriority w:val="99"/>
    <w:semiHidden/>
    <w:rsid w:val="008C0686"/>
    <w:rPr>
      <w:i/>
    </w:rPr>
  </w:style>
  <w:style w:type="paragraph" w:styleId="PlainText">
    <w:name w:val="Plain Text"/>
    <w:basedOn w:val="Normal"/>
    <w:link w:val="PlainTextChar"/>
    <w:uiPriority w:val="99"/>
    <w:semiHidden/>
    <w:rsid w:val="00C96A49"/>
    <w:rPr>
      <w:rFonts w:ascii="Source Code Pro" w:hAnsi="Source Code Pro"/>
      <w:lang w:eastAsia="en-GB"/>
    </w:rPr>
  </w:style>
  <w:style w:type="character" w:customStyle="1" w:styleId="PlainTextChar">
    <w:name w:val="Plain Text Char"/>
    <w:basedOn w:val="DefaultParagraphFont"/>
    <w:link w:val="PlainText"/>
    <w:uiPriority w:val="99"/>
    <w:semiHidden/>
    <w:rsid w:val="00C96A49"/>
    <w:rPr>
      <w:rFonts w:ascii="Source Code Pro" w:hAnsi="Source Code Pro"/>
      <w:kern w:val="20"/>
      <w:sz w:val="20"/>
      <w:lang w:eastAsia="en-GB"/>
      <w14:ligatures w14:val="standardContextual"/>
      <w14:numForm w14:val="lining"/>
      <w14:numSpacing w14:val="tabular"/>
      <w14:cntxtAlts/>
    </w:rPr>
  </w:style>
  <w:style w:type="paragraph" w:styleId="MacroText">
    <w:name w:val="macro"/>
    <w:basedOn w:val="PlainText"/>
    <w:link w:val="MacroTextChar"/>
    <w:uiPriority w:val="99"/>
    <w:semiHidden/>
    <w:rsid w:val="008C0686"/>
  </w:style>
  <w:style w:type="character" w:customStyle="1" w:styleId="MacroTextChar">
    <w:name w:val="Macro Text Char"/>
    <w:basedOn w:val="DefaultParagraphFont"/>
    <w:link w:val="MacroText"/>
    <w:uiPriority w:val="99"/>
    <w:semiHidden/>
    <w:rsid w:val="001D78E5"/>
    <w:rPr>
      <w:rFonts w:ascii="Consolas" w:hAnsi="Consolas"/>
      <w:sz w:val="20"/>
      <w:lang w:eastAsia="en-GB"/>
    </w:rPr>
  </w:style>
  <w:style w:type="character" w:styleId="HTMLCode">
    <w:name w:val="HTML Code"/>
    <w:basedOn w:val="PlainTextChar"/>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Sample">
    <w:name w:val="HTML Sample"/>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Typewriter">
    <w:name w:val="HTML Typewriter"/>
    <w:basedOn w:val="HTMLKeyboard"/>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Keyboard">
    <w:name w:val="HTML Keyboard"/>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paragraph" w:styleId="HTMLPreformatted">
    <w:name w:val="HTML Preformatted"/>
    <w:basedOn w:val="PlainText"/>
    <w:link w:val="HTMLPreformattedChar"/>
    <w:uiPriority w:val="99"/>
    <w:semiHidden/>
    <w:rsid w:val="006C7FF8"/>
  </w:style>
  <w:style w:type="character" w:customStyle="1" w:styleId="HTMLPreformattedChar">
    <w:name w:val="HTML Preformatted Char"/>
    <w:basedOn w:val="DefaultParagraphFont"/>
    <w:link w:val="HTMLPreformatted"/>
    <w:uiPriority w:val="99"/>
    <w:semiHidden/>
    <w:rsid w:val="001D78E5"/>
    <w:rPr>
      <w:rFonts w:ascii="Consolas" w:hAnsi="Consolas"/>
      <w:sz w:val="20"/>
      <w:lang w:eastAsia="en-GB"/>
    </w:rPr>
  </w:style>
  <w:style w:type="character" w:styleId="HTMLVariable">
    <w:name w:val="HTML Variable"/>
    <w:basedOn w:val="HTMLCode"/>
    <w:uiPriority w:val="99"/>
    <w:semiHidden/>
    <w:rsid w:val="00C96A49"/>
    <w:rPr>
      <w:rFonts w:ascii="Source Code Pro" w:hAnsi="Source Code Pro"/>
      <w:noProof/>
      <w:color w:val="AD003D" w:themeColor="accent1"/>
      <w:kern w:val="20"/>
      <w:sz w:val="20"/>
      <w:lang w:val="en-GB" w:eastAsia="en-GB"/>
      <w14:ligatures w14:val="standardContextual"/>
      <w14:numForm w14:val="lining"/>
      <w14:numSpacing w14:val="tabular"/>
      <w14:cntxtAlts/>
    </w:rPr>
  </w:style>
  <w:style w:type="paragraph" w:styleId="NormalIndent">
    <w:name w:val="Normal Indent"/>
    <w:basedOn w:val="BodyTextIndent"/>
    <w:uiPriority w:val="99"/>
    <w:semiHidden/>
    <w:rsid w:val="006C7FF8"/>
  </w:style>
  <w:style w:type="paragraph" w:styleId="Date">
    <w:name w:val="Date"/>
    <w:basedOn w:val="Normal"/>
    <w:next w:val="Normal"/>
    <w:link w:val="DateChar"/>
    <w:uiPriority w:val="99"/>
    <w:semiHidden/>
    <w:rsid w:val="006C7FF8"/>
  </w:style>
  <w:style w:type="character" w:customStyle="1" w:styleId="DateChar">
    <w:name w:val="Date Char"/>
    <w:basedOn w:val="DefaultParagraphFont"/>
    <w:link w:val="Date"/>
    <w:uiPriority w:val="99"/>
    <w:semiHidden/>
    <w:rsid w:val="001D78E5"/>
    <w:rPr>
      <w:sz w:val="20"/>
    </w:rPr>
  </w:style>
  <w:style w:type="character" w:styleId="FollowedHyperlink">
    <w:name w:val="FollowedHyperlink"/>
    <w:basedOn w:val="DefaultParagraphFont"/>
    <w:uiPriority w:val="99"/>
    <w:semiHidden/>
    <w:rsid w:val="00BB1312"/>
    <w:rPr>
      <w:color w:val="0D5A4A" w:themeColor="followedHyperlink"/>
      <w:u w:val="none"/>
    </w:rPr>
  </w:style>
  <w:style w:type="paragraph" w:styleId="Index2">
    <w:name w:val="index 2"/>
    <w:basedOn w:val="TOC2"/>
    <w:next w:val="Normal"/>
    <w:autoRedefine/>
    <w:uiPriority w:val="99"/>
    <w:semiHidden/>
    <w:rsid w:val="00BB1312"/>
    <w:pPr>
      <w:tabs>
        <w:tab w:val="clear" w:pos="9639"/>
        <w:tab w:val="right" w:leader="dot" w:pos="9628"/>
      </w:tabs>
    </w:pPr>
  </w:style>
  <w:style w:type="paragraph" w:styleId="Index3">
    <w:name w:val="index 3"/>
    <w:basedOn w:val="TOC3"/>
    <w:next w:val="Normal"/>
    <w:autoRedefine/>
    <w:uiPriority w:val="99"/>
    <w:semiHidden/>
    <w:rsid w:val="00BB1312"/>
    <w:pPr>
      <w:tabs>
        <w:tab w:val="clear" w:pos="9639"/>
        <w:tab w:val="right" w:leader="dot" w:pos="9628"/>
      </w:tabs>
    </w:pPr>
  </w:style>
  <w:style w:type="paragraph" w:styleId="Index4">
    <w:name w:val="index 4"/>
    <w:basedOn w:val="TOC4"/>
    <w:next w:val="Normal"/>
    <w:autoRedefine/>
    <w:uiPriority w:val="99"/>
    <w:semiHidden/>
    <w:rsid w:val="00BB1312"/>
    <w:pPr>
      <w:tabs>
        <w:tab w:val="clear" w:pos="9639"/>
        <w:tab w:val="right" w:leader="dot" w:pos="9628"/>
      </w:tabs>
    </w:pPr>
  </w:style>
  <w:style w:type="paragraph" w:styleId="Index5">
    <w:name w:val="index 5"/>
    <w:basedOn w:val="TOC5"/>
    <w:next w:val="Normal"/>
    <w:autoRedefine/>
    <w:uiPriority w:val="99"/>
    <w:semiHidden/>
    <w:rsid w:val="00BB1312"/>
    <w:pPr>
      <w:tabs>
        <w:tab w:val="clear" w:pos="9639"/>
        <w:tab w:val="right" w:leader="dot" w:pos="9628"/>
      </w:tabs>
    </w:pPr>
  </w:style>
  <w:style w:type="paragraph" w:styleId="Index6">
    <w:name w:val="index 6"/>
    <w:basedOn w:val="TOC6"/>
    <w:next w:val="Normal"/>
    <w:autoRedefine/>
    <w:uiPriority w:val="99"/>
    <w:semiHidden/>
    <w:rsid w:val="00BB1312"/>
    <w:pPr>
      <w:tabs>
        <w:tab w:val="clear" w:pos="9639"/>
        <w:tab w:val="right" w:leader="dot" w:pos="9628"/>
      </w:tabs>
    </w:pPr>
  </w:style>
  <w:style w:type="paragraph" w:styleId="Index7">
    <w:name w:val="index 7"/>
    <w:basedOn w:val="TOC7"/>
    <w:next w:val="Normal"/>
    <w:autoRedefine/>
    <w:uiPriority w:val="99"/>
    <w:semiHidden/>
    <w:rsid w:val="00BB1312"/>
    <w:pPr>
      <w:tabs>
        <w:tab w:val="clear" w:pos="9639"/>
        <w:tab w:val="right" w:leader="dot" w:pos="9628"/>
      </w:tabs>
    </w:pPr>
  </w:style>
  <w:style w:type="paragraph" w:styleId="Index8">
    <w:name w:val="index 8"/>
    <w:basedOn w:val="TOC8"/>
    <w:next w:val="Normal"/>
    <w:autoRedefine/>
    <w:uiPriority w:val="99"/>
    <w:semiHidden/>
    <w:rsid w:val="00BB1312"/>
    <w:pPr>
      <w:tabs>
        <w:tab w:val="clear" w:pos="9639"/>
        <w:tab w:val="right" w:leader="dot" w:pos="9628"/>
      </w:tabs>
    </w:pPr>
  </w:style>
  <w:style w:type="paragraph" w:styleId="Index9">
    <w:name w:val="index 9"/>
    <w:basedOn w:val="TOC9"/>
    <w:next w:val="Normal"/>
    <w:autoRedefine/>
    <w:uiPriority w:val="99"/>
    <w:semiHidden/>
    <w:rsid w:val="00BB1312"/>
    <w:pPr>
      <w:tabs>
        <w:tab w:val="clear" w:pos="9639"/>
        <w:tab w:val="right" w:leader="dot" w:pos="9628"/>
      </w:tabs>
    </w:pPr>
  </w:style>
  <w:style w:type="character" w:styleId="LineNumber">
    <w:name w:val="line number"/>
    <w:basedOn w:val="PageNumber"/>
    <w:uiPriority w:val="99"/>
    <w:semiHidden/>
    <w:rsid w:val="00BB1312"/>
    <w:rPr>
      <w:color w:val="auto"/>
      <w:sz w:val="16"/>
    </w:rPr>
  </w:style>
  <w:style w:type="character" w:styleId="Emphasis">
    <w:name w:val="Emphasis"/>
    <w:basedOn w:val="DefaultParagraphFont"/>
    <w:uiPriority w:val="20"/>
    <w:rsid w:val="00BB1312"/>
    <w:rPr>
      <w:i/>
      <w:iCs/>
    </w:rPr>
  </w:style>
  <w:style w:type="character" w:styleId="PageNumber">
    <w:name w:val="page number"/>
    <w:basedOn w:val="FooterChar"/>
    <w:uiPriority w:val="99"/>
    <w:semiHidden/>
    <w:rsid w:val="00CE4209"/>
    <w:rPr>
      <w:color w:val="auto"/>
      <w:sz w:val="16"/>
    </w:rPr>
  </w:style>
  <w:style w:type="paragraph" w:styleId="List">
    <w:name w:val="List"/>
    <w:basedOn w:val="ListParagraph"/>
    <w:uiPriority w:val="99"/>
    <w:semiHidden/>
    <w:rsid w:val="00BB1312"/>
  </w:style>
  <w:style w:type="paragraph" w:styleId="List2">
    <w:name w:val="List 2"/>
    <w:basedOn w:val="List"/>
    <w:uiPriority w:val="99"/>
    <w:semiHidden/>
    <w:rsid w:val="00CC7BFE"/>
    <w:pPr>
      <w:ind w:left="1134"/>
    </w:pPr>
  </w:style>
  <w:style w:type="paragraph" w:styleId="List3">
    <w:name w:val="List 3"/>
    <w:basedOn w:val="List"/>
    <w:uiPriority w:val="99"/>
    <w:semiHidden/>
    <w:rsid w:val="00CC7BFE"/>
    <w:pPr>
      <w:ind w:left="1701"/>
    </w:pPr>
  </w:style>
  <w:style w:type="paragraph" w:styleId="List4">
    <w:name w:val="List 4"/>
    <w:basedOn w:val="List"/>
    <w:uiPriority w:val="99"/>
    <w:semiHidden/>
    <w:rsid w:val="00CC7BFE"/>
    <w:pPr>
      <w:ind w:left="2268"/>
    </w:pPr>
  </w:style>
  <w:style w:type="paragraph" w:styleId="List5">
    <w:name w:val="List 5"/>
    <w:basedOn w:val="List"/>
    <w:uiPriority w:val="99"/>
    <w:semiHidden/>
    <w:rsid w:val="00CC7BFE"/>
    <w:pPr>
      <w:ind w:left="2835"/>
    </w:pPr>
  </w:style>
  <w:style w:type="paragraph" w:styleId="ListBullet">
    <w:name w:val="List Bullet"/>
    <w:basedOn w:val="ListParagraph"/>
    <w:uiPriority w:val="99"/>
    <w:semiHidden/>
    <w:rsid w:val="00CC7BFE"/>
    <w:pPr>
      <w:numPr>
        <w:numId w:val="13"/>
      </w:numPr>
    </w:pPr>
  </w:style>
  <w:style w:type="paragraph" w:styleId="ListBullet2">
    <w:name w:val="List Bullet 2"/>
    <w:basedOn w:val="ListBullet"/>
    <w:uiPriority w:val="99"/>
    <w:semiHidden/>
    <w:rsid w:val="00CC7BFE"/>
    <w:pPr>
      <w:numPr>
        <w:ilvl w:val="1"/>
      </w:numPr>
    </w:pPr>
  </w:style>
  <w:style w:type="paragraph" w:styleId="ListBullet3">
    <w:name w:val="List Bullet 3"/>
    <w:basedOn w:val="ListBullet2"/>
    <w:uiPriority w:val="99"/>
    <w:semiHidden/>
    <w:rsid w:val="00CC7BFE"/>
    <w:pPr>
      <w:numPr>
        <w:ilvl w:val="2"/>
      </w:numPr>
    </w:pPr>
  </w:style>
  <w:style w:type="paragraph" w:styleId="ListBullet4">
    <w:name w:val="List Bullet 4"/>
    <w:basedOn w:val="ListBullet3"/>
    <w:uiPriority w:val="99"/>
    <w:semiHidden/>
    <w:rsid w:val="00CC7BFE"/>
    <w:pPr>
      <w:numPr>
        <w:ilvl w:val="3"/>
      </w:numPr>
    </w:pPr>
  </w:style>
  <w:style w:type="paragraph" w:styleId="ListBullet5">
    <w:name w:val="List Bullet 5"/>
    <w:basedOn w:val="ListBullet4"/>
    <w:uiPriority w:val="99"/>
    <w:semiHidden/>
    <w:rsid w:val="00CC7BFE"/>
    <w:pPr>
      <w:numPr>
        <w:ilvl w:val="4"/>
      </w:numPr>
    </w:pPr>
  </w:style>
  <w:style w:type="paragraph" w:styleId="ListContinue">
    <w:name w:val="List Continue"/>
    <w:basedOn w:val="List"/>
    <w:uiPriority w:val="99"/>
    <w:semiHidden/>
    <w:rsid w:val="00BB1312"/>
  </w:style>
  <w:style w:type="paragraph" w:styleId="ListContinue2">
    <w:name w:val="List Continue 2"/>
    <w:basedOn w:val="List2"/>
    <w:uiPriority w:val="99"/>
    <w:semiHidden/>
    <w:rsid w:val="00BB1312"/>
  </w:style>
  <w:style w:type="paragraph" w:styleId="ListContinue3">
    <w:name w:val="List Continue 3"/>
    <w:basedOn w:val="List3"/>
    <w:uiPriority w:val="99"/>
    <w:semiHidden/>
    <w:rsid w:val="00CC7BFE"/>
  </w:style>
  <w:style w:type="paragraph" w:styleId="ListContinue4">
    <w:name w:val="List Continue 4"/>
    <w:basedOn w:val="List4"/>
    <w:uiPriority w:val="99"/>
    <w:semiHidden/>
    <w:rsid w:val="00CC7BFE"/>
  </w:style>
  <w:style w:type="paragraph" w:styleId="ListContinue5">
    <w:name w:val="List Continue 5"/>
    <w:basedOn w:val="List5"/>
    <w:uiPriority w:val="99"/>
    <w:semiHidden/>
    <w:rsid w:val="00CC7BFE"/>
  </w:style>
  <w:style w:type="paragraph" w:styleId="ListNumber">
    <w:name w:val="List Number"/>
    <w:basedOn w:val="ListParagraph"/>
    <w:uiPriority w:val="99"/>
    <w:semiHidden/>
    <w:rsid w:val="00CC7BFE"/>
    <w:pPr>
      <w:numPr>
        <w:numId w:val="14"/>
      </w:numPr>
    </w:pPr>
  </w:style>
  <w:style w:type="paragraph" w:styleId="ListNumber2">
    <w:name w:val="List Number 2"/>
    <w:basedOn w:val="ListNumber"/>
    <w:uiPriority w:val="99"/>
    <w:semiHidden/>
    <w:rsid w:val="00CC7BFE"/>
    <w:pPr>
      <w:numPr>
        <w:ilvl w:val="1"/>
      </w:numPr>
    </w:pPr>
  </w:style>
  <w:style w:type="paragraph" w:styleId="ListNumber3">
    <w:name w:val="List Number 3"/>
    <w:basedOn w:val="ListNumber2"/>
    <w:uiPriority w:val="99"/>
    <w:semiHidden/>
    <w:rsid w:val="00CC7BFE"/>
    <w:pPr>
      <w:numPr>
        <w:ilvl w:val="2"/>
      </w:numPr>
    </w:pPr>
  </w:style>
  <w:style w:type="paragraph" w:styleId="ListNumber4">
    <w:name w:val="List Number 4"/>
    <w:basedOn w:val="ListNumber3"/>
    <w:uiPriority w:val="99"/>
    <w:semiHidden/>
    <w:rsid w:val="00CC7BFE"/>
    <w:pPr>
      <w:numPr>
        <w:ilvl w:val="3"/>
      </w:numPr>
    </w:pPr>
  </w:style>
  <w:style w:type="paragraph" w:styleId="ListNumber5">
    <w:name w:val="List Number 5"/>
    <w:basedOn w:val="ListNumber4"/>
    <w:uiPriority w:val="99"/>
    <w:semiHidden/>
    <w:rsid w:val="00CC7BFE"/>
    <w:pPr>
      <w:numPr>
        <w:ilvl w:val="4"/>
      </w:numPr>
    </w:pPr>
  </w:style>
  <w:style w:type="paragraph" w:styleId="MessageHeader">
    <w:name w:val="Message Header"/>
    <w:basedOn w:val="Heading1BodyText"/>
    <w:link w:val="MessageHeaderChar"/>
    <w:uiPriority w:val="99"/>
    <w:semiHidden/>
    <w:rsid w:val="005424C3"/>
  </w:style>
  <w:style w:type="character" w:customStyle="1" w:styleId="MessageHeaderChar">
    <w:name w:val="Message Header Char"/>
    <w:basedOn w:val="DefaultParagraphFont"/>
    <w:link w:val="MessageHeader"/>
    <w:uiPriority w:val="99"/>
    <w:semiHidden/>
    <w:rsid w:val="001D78E5"/>
    <w:rPr>
      <w:rFonts w:asciiTheme="majorHAnsi" w:hAnsiTheme="majorHAnsi"/>
      <w:color w:val="870034" w:themeColor="text2"/>
      <w:sz w:val="40"/>
    </w:rPr>
  </w:style>
  <w:style w:type="paragraph" w:styleId="NormalWeb">
    <w:name w:val="Normal (Web)"/>
    <w:basedOn w:val="Normal"/>
    <w:uiPriority w:val="99"/>
    <w:semiHidden/>
    <w:rsid w:val="005424C3"/>
    <w:rPr>
      <w:rFonts w:ascii="Tahoma" w:hAnsi="Tahoma"/>
    </w:rPr>
  </w:style>
  <w:style w:type="paragraph" w:styleId="NoteHeading">
    <w:name w:val="Note Heading"/>
    <w:basedOn w:val="Heading1BodyText"/>
    <w:next w:val="Normal"/>
    <w:link w:val="NoteHeadingChar"/>
    <w:uiPriority w:val="99"/>
    <w:semiHidden/>
    <w:rsid w:val="005424C3"/>
  </w:style>
  <w:style w:type="character" w:customStyle="1" w:styleId="NoteHeadingChar">
    <w:name w:val="Note Heading Char"/>
    <w:basedOn w:val="DefaultParagraphFont"/>
    <w:link w:val="NoteHeading"/>
    <w:uiPriority w:val="99"/>
    <w:semiHidden/>
    <w:rsid w:val="001D78E5"/>
    <w:rPr>
      <w:rFonts w:asciiTheme="majorHAnsi" w:hAnsiTheme="majorHAnsi"/>
      <w:color w:val="870034" w:themeColor="text2"/>
      <w:sz w:val="40"/>
    </w:rPr>
  </w:style>
  <w:style w:type="paragraph" w:customStyle="1" w:styleId="Heading1BodyText">
    <w:name w:val="Heading 1 (Body Text)"/>
    <w:basedOn w:val="Heading1"/>
    <w:next w:val="Normal"/>
    <w:uiPriority w:val="10"/>
    <w:semiHidden/>
    <w:rsid w:val="005424C3"/>
    <w:pPr>
      <w:outlineLvl w:val="9"/>
    </w:pPr>
  </w:style>
  <w:style w:type="character" w:styleId="Mention">
    <w:name w:val="Mention"/>
    <w:uiPriority w:val="99"/>
    <w:semiHidden/>
    <w:rsid w:val="005424C3"/>
  </w:style>
  <w:style w:type="character" w:styleId="SmartHyperlink">
    <w:name w:val="Smart Hyperlink"/>
    <w:basedOn w:val="Hyperlink"/>
    <w:uiPriority w:val="99"/>
    <w:semiHidden/>
    <w:rsid w:val="005424C3"/>
    <w:rPr>
      <w:color w:val="0D5A4A" w:themeColor="hyperlink"/>
      <w:u w:val="none" w:color="3D8B7A"/>
    </w:rPr>
  </w:style>
  <w:style w:type="table" w:styleId="GridTable2-Accent1">
    <w:name w:val="Grid Table 2 Accent 1"/>
    <w:basedOn w:val="TableNormal"/>
    <w:uiPriority w:val="47"/>
    <w:rsid w:val="00C96A49"/>
    <w:pPr>
      <w:spacing w:after="0" w:line="240" w:lineRule="auto"/>
    </w:pPr>
    <w:tblPr>
      <w:tblStyleRowBandSize w:val="1"/>
      <w:tblStyleColBandSize w:val="1"/>
      <w:tblBorders>
        <w:top w:val="single" w:sz="2" w:space="0" w:color="FF347B" w:themeColor="accent1" w:themeTint="99"/>
        <w:bottom w:val="single" w:sz="2" w:space="0" w:color="FF347B" w:themeColor="accent1" w:themeTint="99"/>
        <w:insideH w:val="single" w:sz="2" w:space="0" w:color="FF347B" w:themeColor="accent1" w:themeTint="99"/>
        <w:insideV w:val="single" w:sz="2" w:space="0" w:color="FF347B" w:themeColor="accent1" w:themeTint="99"/>
      </w:tblBorders>
    </w:tblPr>
    <w:tblStylePr w:type="firstRow">
      <w:rPr>
        <w:b/>
        <w:bCs/>
      </w:rPr>
      <w:tblPr/>
      <w:tcPr>
        <w:tcBorders>
          <w:top w:val="nil"/>
          <w:bottom w:val="single" w:sz="12" w:space="0" w:color="FF347B" w:themeColor="accent1" w:themeTint="99"/>
          <w:insideH w:val="nil"/>
          <w:insideV w:val="nil"/>
        </w:tcBorders>
        <w:shd w:val="clear" w:color="auto" w:fill="FFFFFF" w:themeFill="background1"/>
      </w:tcPr>
    </w:tblStylePr>
    <w:tblStylePr w:type="lastRow">
      <w:rPr>
        <w:b/>
        <w:bCs/>
      </w:rPr>
      <w:tblPr/>
      <w:tcPr>
        <w:tcBorders>
          <w:top w:val="double" w:sz="2" w:space="0" w:color="FF3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BD2" w:themeFill="accent1" w:themeFillTint="33"/>
      </w:tcPr>
    </w:tblStylePr>
    <w:tblStylePr w:type="band1Horz">
      <w:tblPr/>
      <w:tcPr>
        <w:shd w:val="clear" w:color="auto" w:fill="FFBBD2" w:themeFill="accent1" w:themeFillTint="33"/>
      </w:tcPr>
    </w:tblStylePr>
  </w:style>
  <w:style w:type="character" w:styleId="PlaceholderText">
    <w:name w:val="Placeholder Text"/>
    <w:basedOn w:val="DefaultParagraphFont"/>
    <w:uiPriority w:val="99"/>
    <w:semiHidden/>
    <w:rsid w:val="00CE4209"/>
    <w:rPr>
      <w:color w:val="808080"/>
    </w:rPr>
  </w:style>
  <w:style w:type="numbering" w:customStyle="1" w:styleId="OrderedList">
    <w:name w:val="Ordered List"/>
    <w:uiPriority w:val="99"/>
    <w:rsid w:val="005F6BCF"/>
    <w:pPr>
      <w:numPr>
        <w:numId w:val="25"/>
      </w:numPr>
    </w:pPr>
  </w:style>
  <w:style w:type="numbering" w:customStyle="1" w:styleId="UnorderedList">
    <w:name w:val="Unordered List"/>
    <w:uiPriority w:val="99"/>
    <w:rsid w:val="005F6BCF"/>
    <w:pPr>
      <w:numPr>
        <w:numId w:val="27"/>
      </w:numPr>
    </w:pPr>
  </w:style>
  <w:style w:type="table" w:styleId="GridTable5Dark-Accent6">
    <w:name w:val="Grid Table 5 Dark Accent 6"/>
    <w:basedOn w:val="TableNormal"/>
    <w:uiPriority w:val="50"/>
    <w:rsid w:val="00C96A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2D" w:themeFill="accent6"/>
      </w:tcPr>
    </w:tblStylePr>
    <w:tblStylePr w:type="band1Vert">
      <w:tblPr/>
      <w:tcPr>
        <w:shd w:val="clear" w:color="auto" w:fill="F7D2AB" w:themeFill="accent6" w:themeFillTint="66"/>
      </w:tcPr>
    </w:tblStylePr>
    <w:tblStylePr w:type="band1Horz">
      <w:tblPr/>
      <w:tcPr>
        <w:shd w:val="clear" w:color="auto" w:fill="F7D2AB" w:themeFill="accent6" w:themeFillTint="66"/>
      </w:tcPr>
    </w:tblStylePr>
  </w:style>
  <w:style w:type="table" w:styleId="ListTable1Light">
    <w:name w:val="List Table 1 Light"/>
    <w:basedOn w:val="TableNormal"/>
    <w:uiPriority w:val="46"/>
    <w:rsid w:val="00C96A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C96A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5">
    <w:name w:val="List Table 7 Colorful Accent 5"/>
    <w:basedOn w:val="TableNormal"/>
    <w:uiPriority w:val="52"/>
    <w:rsid w:val="00C96A49"/>
    <w:pPr>
      <w:spacing w:after="0" w:line="240" w:lineRule="auto"/>
    </w:pPr>
    <w:rPr>
      <w:color w:val="0B65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88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88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88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8852" w:themeColor="accent5"/>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96A49"/>
    <w:pPr>
      <w:spacing w:after="0" w:line="240" w:lineRule="auto"/>
    </w:pPr>
    <w:rPr>
      <w:color w:val="8100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00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00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00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003D" w:themeColor="accent1"/>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6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96A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38"/>
    <w:rsid w:val="008A16A1"/>
    <w:pPr>
      <w:spacing w:after="60" w:line="240" w:lineRule="auto"/>
    </w:pPr>
    <w:rPr>
      <w:sz w:val="19"/>
    </w:rPr>
  </w:style>
  <w:style w:type="character" w:styleId="UnresolvedMention">
    <w:name w:val="Unresolved Mention"/>
    <w:basedOn w:val="DefaultParagraphFont"/>
    <w:uiPriority w:val="99"/>
    <w:semiHidden/>
    <w:unhideWhenUsed/>
    <w:rsid w:val="00D7094D"/>
    <w:rPr>
      <w:color w:val="605E5C"/>
      <w:shd w:val="clear" w:color="auto" w:fill="E1DFDD"/>
    </w:rPr>
  </w:style>
  <w:style w:type="table" w:customStyle="1" w:styleId="Box">
    <w:name w:val="Box"/>
    <w:basedOn w:val="TableGrid"/>
    <w:uiPriority w:val="99"/>
    <w:rsid w:val="006D577B"/>
    <w:pPr>
      <w:spacing w:before="120" w:after="40" w:line="312" w:lineRule="auto"/>
    </w:pPr>
    <w:tblPr>
      <w:tbl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one" w:sz="0" w:space="0" w:color="auto"/>
        <w:insideV w:val="none" w:sz="0" w:space="0" w:color="auto"/>
      </w:tblBorders>
      <w:tblCellMar>
        <w:top w:w="113" w:type="dxa"/>
        <w:left w:w="284" w:type="dxa"/>
        <w:bottom w:w="113" w:type="dxa"/>
        <w:right w:w="284" w:type="dxa"/>
      </w:tblCellMar>
    </w:tblPr>
    <w:tblStylePr w:type="firstRow">
      <w:pPr>
        <w:keepNext/>
        <w:wordWrap/>
      </w:pPr>
      <w:rPr>
        <w:rFonts w:asciiTheme="minorHAnsi" w:hAnsiTheme="minorHAnsi"/>
        <w:b w:val="0"/>
      </w:rPr>
      <w:tblPr/>
      <w:tcPr>
        <w:tcBorders>
          <w:bottom w:val="nil"/>
        </w:tcBorders>
        <w:shd w:val="clear" w:color="auto" w:fill="F0EDE8" w:themeFill="background2"/>
      </w:tcPr>
    </w:tblStylePr>
    <w:tblStylePr w:type="lastRow">
      <w:rPr>
        <w:rFonts w:asciiTheme="minorHAnsi" w:hAnsiTheme="minorHAnsi"/>
        <w:b w:val="0"/>
      </w:rPr>
      <w:tblPr/>
      <w:tcPr>
        <w:tcBorders>
          <w:top w:val="single" w:sz="4" w:space="0" w:color="8F7C5D" w:themeColor="background2" w:themeShade="80"/>
        </w:tcBorders>
        <w:shd w:val="clear" w:color="auto" w:fill="F0EDE8" w:themeFill="background2"/>
      </w:tcPr>
    </w:tblStylePr>
    <w:tblStylePr w:type="firstCol">
      <w:rPr>
        <w:rFonts w:asciiTheme="minorHAnsi" w:hAnsiTheme="minorHAnsi"/>
        <w:b w:val="0"/>
      </w:rPr>
      <w:tblPr/>
      <w:tcPr>
        <w:tcBorders>
          <w:right w:val="single" w:sz="4" w:space="0" w:color="8F7C5D" w:themeColor="background2" w:themeShade="80"/>
        </w:tcBorders>
        <w:shd w:val="clear" w:color="auto" w:fill="F0EDE8" w:themeFill="background2"/>
      </w:tcPr>
    </w:tblStylePr>
    <w:tblStylePr w:type="lastCol">
      <w:rPr>
        <w:rFonts w:asciiTheme="minorHAnsi" w:hAnsiTheme="minorHAnsi"/>
        <w:b w:val="0"/>
      </w:rPr>
      <w:tblPr/>
      <w:tcPr>
        <w:tcBorders>
          <w:left w:val="single" w:sz="4" w:space="0" w:color="8F7C5D" w:themeColor="background2" w:themeShade="80"/>
        </w:tcBorders>
        <w:shd w:val="clear" w:color="auto" w:fill="F0EDE8" w:themeFill="background2"/>
      </w:tcPr>
    </w:tblStylePr>
    <w:tblStylePr w:type="band1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2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1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band2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n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n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2066">
      <w:bodyDiv w:val="1"/>
      <w:marLeft w:val="0"/>
      <w:marRight w:val="0"/>
      <w:marTop w:val="0"/>
      <w:marBottom w:val="0"/>
      <w:divBdr>
        <w:top w:val="none" w:sz="0" w:space="0" w:color="auto"/>
        <w:left w:val="none" w:sz="0" w:space="0" w:color="auto"/>
        <w:bottom w:val="none" w:sz="0" w:space="0" w:color="auto"/>
        <w:right w:val="none" w:sz="0" w:space="0" w:color="auto"/>
      </w:divBdr>
    </w:div>
    <w:div w:id="62265798">
      <w:bodyDiv w:val="1"/>
      <w:marLeft w:val="0"/>
      <w:marRight w:val="0"/>
      <w:marTop w:val="0"/>
      <w:marBottom w:val="0"/>
      <w:divBdr>
        <w:top w:val="none" w:sz="0" w:space="0" w:color="auto"/>
        <w:left w:val="none" w:sz="0" w:space="0" w:color="auto"/>
        <w:bottom w:val="none" w:sz="0" w:space="0" w:color="auto"/>
        <w:right w:val="none" w:sz="0" w:space="0" w:color="auto"/>
      </w:divBdr>
    </w:div>
    <w:div w:id="146827682">
      <w:bodyDiv w:val="1"/>
      <w:marLeft w:val="0"/>
      <w:marRight w:val="0"/>
      <w:marTop w:val="0"/>
      <w:marBottom w:val="0"/>
      <w:divBdr>
        <w:top w:val="none" w:sz="0" w:space="0" w:color="auto"/>
        <w:left w:val="none" w:sz="0" w:space="0" w:color="auto"/>
        <w:bottom w:val="none" w:sz="0" w:space="0" w:color="auto"/>
        <w:right w:val="none" w:sz="0" w:space="0" w:color="auto"/>
      </w:divBdr>
    </w:div>
    <w:div w:id="653074210">
      <w:bodyDiv w:val="1"/>
      <w:marLeft w:val="0"/>
      <w:marRight w:val="0"/>
      <w:marTop w:val="0"/>
      <w:marBottom w:val="0"/>
      <w:divBdr>
        <w:top w:val="none" w:sz="0" w:space="0" w:color="auto"/>
        <w:left w:val="none" w:sz="0" w:space="0" w:color="auto"/>
        <w:bottom w:val="none" w:sz="0" w:space="0" w:color="auto"/>
        <w:right w:val="none" w:sz="0" w:space="0" w:color="auto"/>
      </w:divBdr>
    </w:div>
    <w:div w:id="1456825654">
      <w:bodyDiv w:val="1"/>
      <w:marLeft w:val="0"/>
      <w:marRight w:val="0"/>
      <w:marTop w:val="0"/>
      <w:marBottom w:val="0"/>
      <w:divBdr>
        <w:top w:val="none" w:sz="0" w:space="0" w:color="auto"/>
        <w:left w:val="none" w:sz="0" w:space="0" w:color="auto"/>
        <w:bottom w:val="none" w:sz="0" w:space="0" w:color="auto"/>
        <w:right w:val="none" w:sz="0" w:space="0" w:color="auto"/>
      </w:divBdr>
    </w:div>
    <w:div w:id="1564174539">
      <w:bodyDiv w:val="1"/>
      <w:marLeft w:val="0"/>
      <w:marRight w:val="0"/>
      <w:marTop w:val="0"/>
      <w:marBottom w:val="0"/>
      <w:divBdr>
        <w:top w:val="none" w:sz="0" w:space="0" w:color="auto"/>
        <w:left w:val="none" w:sz="0" w:space="0" w:color="auto"/>
        <w:bottom w:val="none" w:sz="0" w:space="0" w:color="auto"/>
        <w:right w:val="none" w:sz="0" w:space="0" w:color="auto"/>
      </w:divBdr>
    </w:div>
    <w:div w:id="15695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un.org/en/about-us/un-charter" TargetMode="External"/><Relationship Id="rId13" Type="http://schemas.openxmlformats.org/officeDocument/2006/relationships/hyperlink" Target="https://docs.un.org/en/A/HRC/res/46/11" TargetMode="External"/><Relationship Id="rId18" Type="http://schemas.openxmlformats.org/officeDocument/2006/relationships/hyperlink" Target="https://undocs.org/CCPR/C/GC/32" TargetMode="External"/><Relationship Id="rId3" Type="http://schemas.openxmlformats.org/officeDocument/2006/relationships/hyperlink" Target="https://uncaccoalition.org/bridging-anti-corruption-and-human-rights-efforts-a-guide-for-anti-corruption-advocates-to-engage-in-the-universal-periodic-review-process/" TargetMode="External"/><Relationship Id="rId7" Type="http://schemas.openxmlformats.org/officeDocument/2006/relationships/hyperlink" Target="https://legal.un.org/ilc/texts/instruments/english/conventions/1_1_1969.pdf" TargetMode="External"/><Relationship Id="rId12" Type="http://schemas.openxmlformats.org/officeDocument/2006/relationships/hyperlink" Target="https://docs.un.org/en/A/RES/76/181" TargetMode="External"/><Relationship Id="rId17" Type="http://schemas.openxmlformats.org/officeDocument/2006/relationships/hyperlink" Target="https://digitallibrary.un.org/record/802805?ln=en&amp;v=pdf" TargetMode="External"/><Relationship Id="rId2" Type="http://schemas.openxmlformats.org/officeDocument/2006/relationships/hyperlink" Target="https://uncaccoalition.org/get-involved/working-groups/human-rights-and-corruption/" TargetMode="External"/><Relationship Id="rId16" Type="http://schemas.openxmlformats.org/officeDocument/2006/relationships/hyperlink" Target="https://docs.un.org/en/A/HRC/RES/23/9" TargetMode="External"/><Relationship Id="rId20" Type="http://schemas.openxmlformats.org/officeDocument/2006/relationships/hyperlink" Target="https://hudoc.echr.coe.int/eng?i=001-162211" TargetMode="External"/><Relationship Id="rId1" Type="http://schemas.openxmlformats.org/officeDocument/2006/relationships/hyperlink" Target="https://uncaccoalition.org/systemic-integration-of-human-rights-in-anti-corruption-frameworks/" TargetMode="External"/><Relationship Id="rId6" Type="http://schemas.openxmlformats.org/officeDocument/2006/relationships/hyperlink" Target="https://www.u4.no/topics/human-rights/basics" TargetMode="External"/><Relationship Id="rId11" Type="http://schemas.openxmlformats.org/officeDocument/2006/relationships/hyperlink" Target="https://docs.un.org/en/A/RES/s-32/1" TargetMode="External"/><Relationship Id="rId5" Type="http://schemas.openxmlformats.org/officeDocument/2006/relationships/hyperlink" Target="https://www.u4.no/topics/human-rights/basics" TargetMode="External"/><Relationship Id="rId15" Type="http://schemas.openxmlformats.org/officeDocument/2006/relationships/hyperlink" Target="https://documents-dds-ny.un.org/doc/UNDOC/GEN/G19/214/60/PDF/G1921460.pdf" TargetMode="External"/><Relationship Id="rId10" Type="http://schemas.openxmlformats.org/officeDocument/2006/relationships/hyperlink" Target="https://uncaccoalition.org/bridging-anti-corruption-and-human-rights-efforts-a-guide-for-anti-corruption-advocates-to-engage-in-the-universal-periodic-review-process/" TargetMode="External"/><Relationship Id="rId19" Type="http://schemas.openxmlformats.org/officeDocument/2006/relationships/hyperlink" Target="https://www.corteconstitucional.gov.co/relatoria/2021/C-077-21.htm" TargetMode="External"/><Relationship Id="rId4" Type="http://schemas.openxmlformats.org/officeDocument/2006/relationships/hyperlink" Target="https://www.icj.org/resource/background-information-concerning-the-right-to-remedy-and-reparation/" TargetMode="External"/><Relationship Id="rId9" Type="http://schemas.openxmlformats.org/officeDocument/2006/relationships/hyperlink" Target="https://www.unodc.org/documents/brussels/UN_Convention_Against_Corruption.pdf" TargetMode="External"/><Relationship Id="rId14" Type="http://schemas.openxmlformats.org/officeDocument/2006/relationships/hyperlink" Target="https://docs.un.org/en/A/HRC/RES/47/7"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ncaccoalition/Downloads/UNCAC%20Coalitio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085621834B7D43979B74154BC49213"/>
        <w:category>
          <w:name w:val="General"/>
          <w:gallery w:val="placeholder"/>
        </w:category>
        <w:types>
          <w:type w:val="bbPlcHdr"/>
        </w:types>
        <w:behaviors>
          <w:behavior w:val="content"/>
        </w:behaviors>
        <w:guid w:val="{51382640-B301-0D42-B061-5163326EBBB4}"/>
      </w:docPartPr>
      <w:docPartBody>
        <w:p w:rsidR="00043C6D" w:rsidRDefault="00000000">
          <w:pPr>
            <w:pStyle w:val="42085621834B7D43979B74154BC49213"/>
          </w:pPr>
          <w:r w:rsidRPr="00C53D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93"/>
    <w:rsid w:val="00043C6D"/>
    <w:rsid w:val="000D01A1"/>
    <w:rsid w:val="002F62E0"/>
    <w:rsid w:val="0036439A"/>
    <w:rsid w:val="003D5093"/>
    <w:rsid w:val="00427D5E"/>
    <w:rsid w:val="004C76FA"/>
    <w:rsid w:val="00923574"/>
    <w:rsid w:val="00A07633"/>
    <w:rsid w:val="00A84359"/>
    <w:rsid w:val="00CC103F"/>
    <w:rsid w:val="00E407C7"/>
    <w:rsid w:val="00EA6647"/>
    <w:rsid w:val="00FC52B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085621834B7D43979B74154BC49213">
    <w:name w:val="42085621834B7D43979B74154BC49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CAC Coalition">
      <a:dk1>
        <a:srgbClr val="000000"/>
      </a:dk1>
      <a:lt1>
        <a:srgbClr val="FFFFFF"/>
      </a:lt1>
      <a:dk2>
        <a:srgbClr val="870034"/>
      </a:dk2>
      <a:lt2>
        <a:srgbClr val="F0EDE8"/>
      </a:lt2>
      <a:accent1>
        <a:srgbClr val="AD003D"/>
      </a:accent1>
      <a:accent2>
        <a:srgbClr val="5E3482"/>
      </a:accent2>
      <a:accent3>
        <a:srgbClr val="00639C"/>
      </a:accent3>
      <a:accent4>
        <a:srgbClr val="00A48B"/>
      </a:accent4>
      <a:accent5>
        <a:srgbClr val="0F8852"/>
      </a:accent5>
      <a:accent6>
        <a:srgbClr val="EB912D"/>
      </a:accent6>
      <a:hlink>
        <a:srgbClr val="0D5A4A"/>
      </a:hlink>
      <a:folHlink>
        <a:srgbClr val="0D5A4A"/>
      </a:folHlink>
    </a:clrScheme>
    <a:fontScheme name="UNCAC Coalition">
      <a:majorFont>
        <a:latin typeface="Lexen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NewSourcePlace</b:Tag>
    <b:RefOrder>2</b:RefOrder>
  </b:Source>
  <b:Source>
    <b:Tag>Hub15</b:Tag>
    <b:SourceType>Report</b:SourceType>
    <b:Guid>{55FA7666-08F4-4CEF-9631-D8E21642403B}</b:Guid>
    <b:Title>2015 Social Media Benchmarks Report</b:Title>
    <b:Year>2015</b:Year>
    <b:Author>
      <b:Author>
        <b:Corporate>Hubspot</b:Corporate>
      </b:Author>
    </b:Author>
    <b:Publisher>Hubspot</b:Publisher>
    <b:City>Cambridge, MA</b:City>
    <b:RefOrder>1</b:RefOrder>
  </b:Source>
</b:Sources>
</file>

<file path=customXml/itemProps1.xml><?xml version="1.0" encoding="utf-8"?>
<ds:datastoreItem xmlns:ds="http://schemas.openxmlformats.org/officeDocument/2006/customXml" ds:itemID="{6F4B1456-1542-41DE-81C2-C03E8BF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UNCAC Coalition (1).dotx</Template>
  <TotalTime>104</TotalTime>
  <Pages>5</Pages>
  <Words>1232</Words>
  <Characters>8295</Characters>
  <Application>Microsoft Office Word</Application>
  <DocSecurity>0</DocSecurity>
  <Lines>133</Lines>
  <Paragraphs>45</Paragraphs>
  <ScaleCrop>false</ScaleCrop>
  <HeadingPairs>
    <vt:vector size="2" baseType="variant">
      <vt:variant>
        <vt:lpstr>Title</vt:lpstr>
      </vt:variant>
      <vt:variant>
        <vt:i4>1</vt:i4>
      </vt:variant>
    </vt:vector>
  </HeadingPairs>
  <TitlesOfParts>
    <vt:vector size="1" baseType="lpstr">
      <vt:lpstr>Promoting Policy Coherence Through the Systemic Integration of International Human Rights Law</vt:lpstr>
    </vt:vector>
  </TitlesOfParts>
  <Company>UNCAC Coalition</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Policy Coherence Through the Systemic Integration of International Human Rights Law</dc:title>
  <dc:subject/>
  <dc:creator>Miguel Rodrigues</dc:creator>
  <cp:keywords/>
  <dc:description/>
  <cp:lastModifiedBy>Isabella Moggs</cp:lastModifiedBy>
  <cp:revision>27</cp:revision>
  <dcterms:created xsi:type="dcterms:W3CDTF">2025-11-19T09:14:00Z</dcterms:created>
  <dcterms:modified xsi:type="dcterms:W3CDTF">2025-11-21T09:10:00Z</dcterms:modified>
</cp:coreProperties>
</file>