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D3FDF" w14:textId="3EE8C050" w:rsidR="6ABD13AE" w:rsidRDefault="3BEA93C5" w:rsidP="00666519">
      <w:pPr>
        <w:spacing w:after="0"/>
        <w:jc w:val="center"/>
        <w:rPr>
          <w:rFonts w:ascii="Calibri" w:eastAsia="Calibri" w:hAnsi="Calibri" w:cs="Calibri"/>
          <w:b/>
          <w:bCs/>
          <w:lang w:val="en-US"/>
        </w:rPr>
      </w:pPr>
      <w:r w:rsidRPr="00AE6CAC">
        <w:rPr>
          <w:rFonts w:ascii="Calibri" w:eastAsia="Calibri" w:hAnsi="Calibri" w:cs="Calibri"/>
          <w:b/>
          <w:bCs/>
          <w:lang w:val="en-US"/>
        </w:rPr>
        <w:t>Transparency International</w:t>
      </w:r>
      <w:r w:rsidR="00612FC6">
        <w:rPr>
          <w:rFonts w:ascii="Calibri" w:eastAsia="Calibri" w:hAnsi="Calibri" w:cs="Calibri"/>
          <w:b/>
          <w:bCs/>
          <w:lang w:val="en-US"/>
        </w:rPr>
        <w:t xml:space="preserve"> and UNCAC Coalition</w:t>
      </w:r>
      <w:r w:rsidRPr="00AE6CAC">
        <w:rPr>
          <w:rFonts w:ascii="Calibri" w:eastAsia="Calibri" w:hAnsi="Calibri" w:cs="Calibri"/>
          <w:b/>
          <w:bCs/>
          <w:lang w:val="en-US"/>
        </w:rPr>
        <w:t xml:space="preserve"> Statement </w:t>
      </w:r>
    </w:p>
    <w:p w14:paraId="0226812D" w14:textId="1035D781" w:rsidR="00612FC6" w:rsidRDefault="00612FC6" w:rsidP="00666519">
      <w:pPr>
        <w:spacing w:after="0"/>
        <w:jc w:val="center"/>
        <w:rPr>
          <w:rFonts w:ascii="Calibri" w:eastAsia="Calibri" w:hAnsi="Calibri" w:cs="Calibri"/>
          <w:b/>
          <w:bCs/>
          <w:lang w:val="en-US"/>
        </w:rPr>
      </w:pPr>
      <w:r>
        <w:rPr>
          <w:rFonts w:ascii="Calibri" w:eastAsia="Calibri" w:hAnsi="Calibri" w:cs="Calibri"/>
          <w:b/>
          <w:bCs/>
          <w:lang w:val="en-US"/>
        </w:rPr>
        <w:t>t</w:t>
      </w:r>
      <w:r w:rsidRPr="00AE6CAC">
        <w:rPr>
          <w:rFonts w:ascii="Calibri" w:eastAsia="Calibri" w:hAnsi="Calibri" w:cs="Calibri"/>
          <w:b/>
          <w:bCs/>
          <w:lang w:val="en-US"/>
        </w:rPr>
        <w:t>o the UNCAC Implementation Review Group</w:t>
      </w:r>
    </w:p>
    <w:p w14:paraId="19AC8309" w14:textId="77777777" w:rsidR="00666519" w:rsidRPr="00AE6CAC" w:rsidRDefault="00666519" w:rsidP="00666519">
      <w:pPr>
        <w:spacing w:after="0"/>
        <w:jc w:val="center"/>
        <w:rPr>
          <w:rFonts w:ascii="Calibri" w:eastAsia="Calibri" w:hAnsi="Calibri" w:cs="Calibri"/>
          <w:b/>
          <w:bCs/>
          <w:lang w:val="en-US"/>
        </w:rPr>
      </w:pPr>
    </w:p>
    <w:p w14:paraId="6C775787" w14:textId="49705E38" w:rsidR="6ABD13AE" w:rsidRPr="00AE6CAC" w:rsidRDefault="2ED88C2F" w:rsidP="00612FC6">
      <w:pPr>
        <w:spacing w:after="0"/>
        <w:jc w:val="center"/>
        <w:rPr>
          <w:rFonts w:ascii="Calibri" w:eastAsia="Calibri" w:hAnsi="Calibri" w:cs="Calibri"/>
          <w:b/>
          <w:bCs/>
          <w:lang w:val="en-US"/>
        </w:rPr>
      </w:pPr>
      <w:r w:rsidRPr="00AE6CAC">
        <w:rPr>
          <w:rFonts w:ascii="Calibri" w:eastAsia="Calibri" w:hAnsi="Calibri" w:cs="Calibri"/>
          <w:b/>
          <w:bCs/>
          <w:lang w:val="en-US"/>
        </w:rPr>
        <w:t>Recommendations for robust action to ensure transparency in company ownership</w:t>
      </w:r>
    </w:p>
    <w:p w14:paraId="2D6AAEE8" w14:textId="720435E1" w:rsidR="00AA016B" w:rsidRDefault="00AA016B" w:rsidP="1CFDF2CF">
      <w:pPr>
        <w:rPr>
          <w:rFonts w:ascii="Calibri" w:eastAsia="Calibri" w:hAnsi="Calibri" w:cs="Calibri"/>
          <w:lang w:val="en-GB"/>
        </w:rPr>
      </w:pPr>
    </w:p>
    <w:p w14:paraId="6E111F00" w14:textId="6130EFC1" w:rsidR="1CFDF2CF" w:rsidRDefault="1CFDF2CF" w:rsidP="1CFDF2CF">
      <w:pPr>
        <w:rPr>
          <w:rFonts w:ascii="Calibri" w:eastAsia="Calibri" w:hAnsi="Calibri" w:cs="Calibri"/>
          <w:lang w:val="en-GB"/>
        </w:rPr>
      </w:pPr>
      <w:r w:rsidRPr="1CFDF2CF">
        <w:rPr>
          <w:rFonts w:ascii="Calibri" w:eastAsia="Calibri" w:hAnsi="Calibri" w:cs="Calibri"/>
          <w:lang w:val="en-GB"/>
        </w:rPr>
        <w:t>Grand corruption, the trafficking of people and drugs, terrorism, tax and sanctions evasion, environmental crime, and money laundering are perpetrated or enabled on a global scale through the creation and use of anonymous companies and trusts.</w:t>
      </w:r>
    </w:p>
    <w:p w14:paraId="0D2663A3" w14:textId="78FAD8C2" w:rsidR="1CFDF2CF" w:rsidRDefault="1CFDF2CF" w:rsidP="4F56FBE5">
      <w:pPr>
        <w:rPr>
          <w:rFonts w:ascii="Calibri" w:eastAsia="Calibri" w:hAnsi="Calibri" w:cs="Calibri"/>
          <w:lang w:val="en-GB"/>
        </w:rPr>
      </w:pPr>
      <w:r w:rsidRPr="1CFDF2CF">
        <w:rPr>
          <w:rFonts w:ascii="Calibri" w:eastAsia="Calibri" w:hAnsi="Calibri" w:cs="Calibri"/>
          <w:lang w:val="en-GB"/>
        </w:rPr>
        <w:t>The United Nations Office on Drugs and Crime estimates that up to 5 per cent of global GDP – between US$800 billion and US$2 trillion – is laundered each year.</w:t>
      </w:r>
      <w:r w:rsidRPr="6ABD13AE">
        <w:rPr>
          <w:sz w:val="20"/>
          <w:szCs w:val="20"/>
          <w:vertAlign w:val="superscript"/>
          <w:lang w:val="en-GB"/>
        </w:rPr>
        <w:footnoteReference w:id="1"/>
      </w:r>
      <w:r w:rsidRPr="1CFDF2CF">
        <w:rPr>
          <w:rFonts w:ascii="Calibri" w:eastAsia="Calibri" w:hAnsi="Calibri" w:cs="Calibri"/>
          <w:lang w:val="en-GB"/>
        </w:rPr>
        <w:t xml:space="preserve"> Secrecy around ownership and control of legal entities makes it easy for the perpetrators to hide their connection to the corrupt or criminal source of funds, and hard for law enforcement to follow the money trail.  </w:t>
      </w:r>
    </w:p>
    <w:p w14:paraId="093961CB" w14:textId="242AF20E" w:rsidR="1CFDF2CF" w:rsidRDefault="1CFDF2CF" w:rsidP="4F56FBE5">
      <w:pPr>
        <w:rPr>
          <w:rFonts w:ascii="Calibri" w:eastAsia="Calibri" w:hAnsi="Calibri" w:cs="Calibri"/>
          <w:sz w:val="31"/>
          <w:szCs w:val="31"/>
          <w:lang w:val="en-GB"/>
        </w:rPr>
      </w:pPr>
      <w:r w:rsidRPr="1CFDF2CF">
        <w:rPr>
          <w:rFonts w:ascii="Calibri" w:eastAsia="Calibri" w:hAnsi="Calibri" w:cs="Calibri"/>
          <w:lang w:val="en-GB"/>
        </w:rPr>
        <w:t>The UN Convention against Corruption (UNCAC) identifies transparency among private entities</w:t>
      </w:r>
      <w:r w:rsidR="00AA016B">
        <w:rPr>
          <w:rFonts w:ascii="Calibri" w:eastAsia="Calibri" w:hAnsi="Calibri" w:cs="Calibri"/>
          <w:lang w:val="en-GB"/>
        </w:rPr>
        <w:t xml:space="preserve"> as a key prevention measure. </w:t>
      </w:r>
      <w:r w:rsidRPr="1CFDF2CF">
        <w:rPr>
          <w:rFonts w:ascii="Calibri" w:eastAsia="Calibri" w:hAnsi="Calibri" w:cs="Calibri"/>
          <w:lang w:val="en-GB"/>
        </w:rPr>
        <w:t>It also calls on States Parties to collect and record beneficial ownership information on corporate entities for anti-money laundering purposes. States are also supposed to require financial institutions to verify such information, particularly for high-value accounts and transactions.</w:t>
      </w:r>
      <w:r w:rsidRPr="6ABD13AE">
        <w:rPr>
          <w:rFonts w:ascii="Calibri" w:eastAsia="Calibri" w:hAnsi="Calibri" w:cs="Calibri"/>
          <w:vertAlign w:val="superscript"/>
          <w:lang w:val="en-GB"/>
        </w:rPr>
        <w:footnoteReference w:id="2"/>
      </w:r>
      <w:r w:rsidRPr="1CFDF2CF">
        <w:rPr>
          <w:rFonts w:ascii="Calibri" w:eastAsia="Calibri" w:hAnsi="Calibri" w:cs="Calibri"/>
          <w:lang w:val="en-GB"/>
        </w:rPr>
        <w:t xml:space="preserve"> </w:t>
      </w:r>
    </w:p>
    <w:p w14:paraId="5F6DDC3D" w14:textId="21BE5822" w:rsidR="1CFDF2CF" w:rsidRDefault="74481798" w:rsidP="66D345A2">
      <w:pPr>
        <w:rPr>
          <w:rFonts w:ascii="Calibri" w:eastAsia="Calibri" w:hAnsi="Calibri" w:cs="Calibri"/>
          <w:sz w:val="31"/>
          <w:szCs w:val="31"/>
          <w:lang w:val="en-GB"/>
        </w:rPr>
      </w:pPr>
      <w:r w:rsidRPr="66D345A2">
        <w:rPr>
          <w:rFonts w:ascii="Calibri" w:eastAsia="Calibri" w:hAnsi="Calibri" w:cs="Calibri"/>
          <w:color w:val="000000" w:themeColor="text1"/>
          <w:sz w:val="21"/>
          <w:szCs w:val="21"/>
          <w:lang w:val="en-GB"/>
        </w:rPr>
        <w:t>Countries are increasingly aware of this challenge.</w:t>
      </w:r>
      <w:r w:rsidRPr="4F56FBE5">
        <w:rPr>
          <w:rFonts w:ascii="Calibri" w:eastAsia="Calibri" w:hAnsi="Calibri" w:cs="Calibri"/>
          <w:lang w:val="en-GB"/>
        </w:rPr>
        <w:t xml:space="preserve"> The UNCAC Conference of States Parties (CoSP) has referenced this issue in several resolutions. </w:t>
      </w:r>
      <w:r w:rsidR="51A946D6" w:rsidRPr="1CFDF2CF">
        <w:rPr>
          <w:rFonts w:ascii="Calibri" w:eastAsia="Calibri" w:hAnsi="Calibri" w:cs="Calibri"/>
          <w:lang w:val="en-GB"/>
        </w:rPr>
        <w:t>The G20 leaders adopted Beneficial Ownership Principles in 2014</w:t>
      </w:r>
      <w:r w:rsidR="1CFDF2CF" w:rsidRPr="6ABD13AE">
        <w:rPr>
          <w:rFonts w:ascii="Calibri" w:eastAsia="Calibri" w:hAnsi="Calibri" w:cs="Calibri"/>
          <w:vertAlign w:val="superscript"/>
          <w:lang w:val="en-GB"/>
        </w:rPr>
        <w:footnoteReference w:id="3"/>
      </w:r>
      <w:r w:rsidR="51A946D6" w:rsidRPr="6ABD13AE">
        <w:rPr>
          <w:rFonts w:ascii="Calibri" w:eastAsia="Calibri" w:hAnsi="Calibri" w:cs="Calibri"/>
          <w:vertAlign w:val="superscript"/>
          <w:lang w:val="en-GB"/>
        </w:rPr>
        <w:t xml:space="preserve"> </w:t>
      </w:r>
      <w:r w:rsidR="51A946D6" w:rsidRPr="1CFDF2CF">
        <w:rPr>
          <w:rFonts w:ascii="Calibri" w:eastAsia="Calibri" w:hAnsi="Calibri" w:cs="Calibri"/>
          <w:lang w:val="en-GB"/>
        </w:rPr>
        <w:t xml:space="preserve">building upon </w:t>
      </w:r>
      <w:r w:rsidR="00BC57AF">
        <w:rPr>
          <w:rFonts w:ascii="Calibri" w:eastAsia="Calibri" w:hAnsi="Calibri" w:cs="Calibri"/>
          <w:lang w:val="en-GB"/>
        </w:rPr>
        <w:t>the Financial Action Task Force (</w:t>
      </w:r>
      <w:r w:rsidR="51A946D6" w:rsidRPr="1CFDF2CF">
        <w:rPr>
          <w:rFonts w:ascii="Calibri" w:eastAsia="Calibri" w:hAnsi="Calibri" w:cs="Calibri"/>
          <w:lang w:val="en-GB"/>
        </w:rPr>
        <w:t>FATF</w:t>
      </w:r>
      <w:r w:rsidR="00BC57AF">
        <w:rPr>
          <w:rFonts w:ascii="Calibri" w:eastAsia="Calibri" w:hAnsi="Calibri" w:cs="Calibri"/>
          <w:lang w:val="en-GB"/>
        </w:rPr>
        <w:t>)</w:t>
      </w:r>
      <w:r w:rsidR="51A946D6" w:rsidRPr="1CFDF2CF">
        <w:rPr>
          <w:rFonts w:ascii="Calibri" w:eastAsia="Calibri" w:hAnsi="Calibri" w:cs="Calibri"/>
          <w:lang w:val="en-GB"/>
        </w:rPr>
        <w:t xml:space="preserve"> recommendations, which set the current global standards for anti-money laundering</w:t>
      </w:r>
      <w:r w:rsidR="001C7D8E">
        <w:rPr>
          <w:rFonts w:ascii="Calibri" w:eastAsia="Calibri" w:hAnsi="Calibri" w:cs="Calibri"/>
          <w:lang w:val="en-GB"/>
        </w:rPr>
        <w:t>,</w:t>
      </w:r>
      <w:r w:rsidR="51A946D6" w:rsidRPr="1CFDF2CF">
        <w:rPr>
          <w:rFonts w:ascii="Calibri" w:eastAsia="Calibri" w:hAnsi="Calibri" w:cs="Calibri"/>
          <w:lang w:val="en-GB"/>
        </w:rPr>
        <w:t xml:space="preserve"> and the 2013 G8 action plan principles to prevent the misuse of companies and legal arrangements.</w:t>
      </w:r>
      <w:r w:rsidR="1CFDF2CF" w:rsidRPr="6ABD13AE">
        <w:rPr>
          <w:rFonts w:ascii="Calibri" w:eastAsia="Calibri" w:hAnsi="Calibri" w:cs="Calibri"/>
          <w:vertAlign w:val="superscript"/>
          <w:lang w:val="en-GB"/>
        </w:rPr>
        <w:footnoteReference w:id="4"/>
      </w:r>
      <w:r w:rsidR="51A946D6" w:rsidRPr="6ABD13AE">
        <w:rPr>
          <w:rFonts w:ascii="Calibri" w:eastAsia="Calibri" w:hAnsi="Calibri" w:cs="Calibri"/>
          <w:vertAlign w:val="superscript"/>
          <w:lang w:val="en-GB"/>
        </w:rPr>
        <w:t xml:space="preserve"> </w:t>
      </w:r>
      <w:r w:rsidR="51A946D6" w:rsidRPr="1CFDF2CF">
        <w:rPr>
          <w:rFonts w:ascii="Calibri" w:eastAsia="Calibri" w:hAnsi="Calibri" w:cs="Calibri"/>
          <w:lang w:val="en-GB"/>
        </w:rPr>
        <w:t>More recently, a large proportion of the more than 600 commitments made by more than 40 countries at the Anti-Corruption Summit held in London in 2016 were on enhancing beneficial ownership transparency.</w:t>
      </w:r>
      <w:r w:rsidR="1CFDF2CF" w:rsidRPr="6ABD13AE">
        <w:rPr>
          <w:rFonts w:ascii="Calibri" w:eastAsia="Calibri" w:hAnsi="Calibri" w:cs="Calibri"/>
          <w:vertAlign w:val="superscript"/>
          <w:lang w:val="en-GB"/>
        </w:rPr>
        <w:footnoteReference w:id="5"/>
      </w:r>
      <w:r w:rsidR="51A946D6" w:rsidRPr="1CFDF2CF">
        <w:rPr>
          <w:rFonts w:ascii="Calibri" w:eastAsia="Calibri" w:hAnsi="Calibri" w:cs="Calibri"/>
          <w:lang w:val="en-GB"/>
        </w:rPr>
        <w:t xml:space="preserve"> In the Open Government Partnership (OGP), 21 countries have already used their national action plans to declare and implement </w:t>
      </w:r>
      <w:r w:rsidR="4C806CD3" w:rsidRPr="442DEEF5">
        <w:rPr>
          <w:rFonts w:ascii="Calibri" w:eastAsia="Calibri" w:hAnsi="Calibri" w:cs="Calibri"/>
          <w:lang w:val="en-GB"/>
        </w:rPr>
        <w:t>major</w:t>
      </w:r>
      <w:r w:rsidR="51A946D6" w:rsidRPr="1CFDF2CF">
        <w:rPr>
          <w:rFonts w:ascii="Calibri" w:eastAsia="Calibri" w:hAnsi="Calibri" w:cs="Calibri"/>
          <w:lang w:val="en-GB"/>
        </w:rPr>
        <w:t xml:space="preserve"> initiatives on beneficial ownership.</w:t>
      </w:r>
      <w:r w:rsidR="1CFDF2CF" w:rsidRPr="6ABD13AE">
        <w:rPr>
          <w:rStyle w:val="FootnoteReference"/>
          <w:rFonts w:ascii="Calibri" w:eastAsia="Calibri" w:hAnsi="Calibri" w:cs="Calibri"/>
          <w:lang w:val="en-GB"/>
        </w:rPr>
        <w:footnoteReference w:id="6"/>
      </w:r>
      <w:r w:rsidR="51A946D6" w:rsidRPr="1CFDF2CF">
        <w:rPr>
          <w:rFonts w:ascii="Calibri" w:eastAsia="Calibri" w:hAnsi="Calibri" w:cs="Calibri"/>
          <w:lang w:val="en-GB"/>
        </w:rPr>
        <w:t xml:space="preserve"> Finally, </w:t>
      </w:r>
      <w:r w:rsidR="34F0835B" w:rsidRPr="6ABD13AE">
        <w:rPr>
          <w:rFonts w:ascii="Calibri" w:eastAsia="Calibri" w:hAnsi="Calibri" w:cs="Calibri"/>
          <w:lang w:val="en-GB"/>
        </w:rPr>
        <w:t xml:space="preserve">the </w:t>
      </w:r>
      <w:r w:rsidR="00F50966">
        <w:rPr>
          <w:rStyle w:val="normaltextrun"/>
          <w:rFonts w:ascii="Calibri" w:hAnsi="Calibri" w:cs="Calibri"/>
          <w:color w:val="000000"/>
        </w:rPr>
        <w:t xml:space="preserve">the </w:t>
      </w:r>
      <w:hyperlink r:id="rId8" w:tgtFrame="_blank" w:history="1">
        <w:r w:rsidR="00F50966">
          <w:rPr>
            <w:rStyle w:val="normaltextrun"/>
            <w:rFonts w:ascii="Calibri" w:hAnsi="Calibri" w:cs="Calibri"/>
            <w:color w:val="000000"/>
          </w:rPr>
          <w:t>Fifth EU Anti-Money Laundering Directive</w:t>
        </w:r>
      </w:hyperlink>
      <w:r w:rsidR="34F0835B" w:rsidRPr="6ABD13AE">
        <w:rPr>
          <w:rFonts w:ascii="Calibri" w:eastAsia="Calibri" w:hAnsi="Calibri" w:cs="Calibri"/>
          <w:lang w:val="en-GB"/>
        </w:rPr>
        <w:t xml:space="preserve"> is an important step, requiring all EU Member States to establish public beneficial ownership registers by January 2020.</w:t>
      </w:r>
      <w:r w:rsidR="00F50966">
        <w:rPr>
          <w:rStyle w:val="FootnoteReference"/>
          <w:rFonts w:ascii="Calibri" w:eastAsia="Calibri" w:hAnsi="Calibri" w:cs="Calibri"/>
          <w:lang w:val="en-GB"/>
        </w:rPr>
        <w:footnoteReference w:id="7"/>
      </w:r>
    </w:p>
    <w:p w14:paraId="6DE51E3C" w14:textId="79B89A76" w:rsidR="1CFDF2CF" w:rsidRDefault="6955867E" w:rsidP="442DEEF5">
      <w:pPr>
        <w:rPr>
          <w:rFonts w:ascii="Calibri" w:eastAsia="Calibri" w:hAnsi="Calibri" w:cs="Calibri"/>
          <w:lang w:val="en-GB"/>
        </w:rPr>
      </w:pPr>
      <w:r w:rsidRPr="442DEEF5">
        <w:rPr>
          <w:rFonts w:ascii="Calibri" w:eastAsia="Calibri" w:hAnsi="Calibri" w:cs="Calibri"/>
          <w:lang w:val="en-GB"/>
        </w:rPr>
        <w:t xml:space="preserve">Recent grand corruption scandals also demonstrate how the lack of beneficial ownership transparency allows companies and officials not only to hide and launder funds, but also to operationalise corrupt deals, using shell companies and offshore accounts to make bribe payments, illegally finance electoral campaigns or buy influence. </w:t>
      </w:r>
    </w:p>
    <w:p w14:paraId="510E90EF" w14:textId="277996C9" w:rsidR="1CFDF2CF" w:rsidRDefault="2ED88C2F" w:rsidP="00AE6CAC">
      <w:pPr>
        <w:pStyle w:val="ListParagraph"/>
        <w:numPr>
          <w:ilvl w:val="0"/>
          <w:numId w:val="7"/>
        </w:numPr>
        <w:rPr>
          <w:rFonts w:ascii="Calibri" w:eastAsia="Calibri" w:hAnsi="Calibri" w:cs="Calibri"/>
          <w:lang w:val="en-GB"/>
        </w:rPr>
      </w:pPr>
      <w:r w:rsidRPr="00AE6CAC">
        <w:rPr>
          <w:rFonts w:ascii="Calibri" w:eastAsia="Calibri" w:hAnsi="Calibri" w:cs="Calibri"/>
          <w:lang w:val="en-GB"/>
        </w:rPr>
        <w:lastRenderedPageBreak/>
        <w:t xml:space="preserve">The conglomerate Odebrecht admitted to paying bribes to politicians and public officials to win public procurement contracts </w:t>
      </w:r>
      <w:r w:rsidR="7BA007E3" w:rsidRPr="00AE6CAC">
        <w:rPr>
          <w:rFonts w:ascii="Calibri" w:eastAsia="Calibri" w:hAnsi="Calibri" w:cs="Calibri"/>
          <w:lang w:val="en-GB"/>
        </w:rPr>
        <w:t>at home</w:t>
      </w:r>
      <w:r w:rsidRPr="00AE6CAC">
        <w:rPr>
          <w:rFonts w:ascii="Calibri" w:eastAsia="Calibri" w:hAnsi="Calibri" w:cs="Calibri"/>
          <w:lang w:val="en-GB"/>
        </w:rPr>
        <w:t xml:space="preserve"> and abroad and to influence policy-making.</w:t>
      </w:r>
      <w:r w:rsidR="1CFDF2CF" w:rsidRPr="6ABD13AE">
        <w:rPr>
          <w:rStyle w:val="FootnoteReference"/>
          <w:rFonts w:ascii="Calibri" w:eastAsia="Calibri" w:hAnsi="Calibri" w:cs="Calibri"/>
          <w:lang w:val="en-GB"/>
        </w:rPr>
        <w:footnoteReference w:id="8"/>
      </w:r>
      <w:r w:rsidRPr="00AE6CAC">
        <w:rPr>
          <w:rFonts w:ascii="Calibri" w:eastAsia="Calibri" w:hAnsi="Calibri" w:cs="Calibri"/>
          <w:lang w:val="en-GB"/>
        </w:rPr>
        <w:t xml:space="preserve"> The company operated a web of shell companies and offshore accounts that were used to pay bribes to </w:t>
      </w:r>
      <w:r w:rsidR="6BE0A3A9" w:rsidRPr="00AE6CAC">
        <w:rPr>
          <w:rFonts w:ascii="Calibri" w:eastAsia="Calibri" w:hAnsi="Calibri" w:cs="Calibri"/>
          <w:lang w:val="en-GB"/>
        </w:rPr>
        <w:t>domestic</w:t>
      </w:r>
      <w:r w:rsidRPr="00AE6CAC">
        <w:rPr>
          <w:rFonts w:ascii="Calibri" w:eastAsia="Calibri" w:hAnsi="Calibri" w:cs="Calibri"/>
          <w:lang w:val="en-GB"/>
        </w:rPr>
        <w:t xml:space="preserve"> and foreign officials. The scheme was only possible thanks to the support of many enablers along the way: corporate service providers; financial institutions </w:t>
      </w:r>
      <w:r w:rsidR="43C73E96" w:rsidRPr="00AE6CAC">
        <w:rPr>
          <w:rFonts w:ascii="Calibri" w:eastAsia="Calibri" w:hAnsi="Calibri" w:cs="Calibri"/>
          <w:lang w:val="en-GB"/>
        </w:rPr>
        <w:t xml:space="preserve">which </w:t>
      </w:r>
      <w:r w:rsidRPr="00AE6CAC">
        <w:rPr>
          <w:rFonts w:ascii="Calibri" w:eastAsia="Calibri" w:hAnsi="Calibri" w:cs="Calibri"/>
          <w:lang w:val="en-GB"/>
        </w:rPr>
        <w:t>allegedly turned a blind eye or failed to verify the beneficial owner of accounts and report suspicious transactions; and lawyers who served as a front to politically exposed persons so that bank accounts could be opened to channel illicit funds without raising red flags.</w:t>
      </w:r>
      <w:r w:rsidR="1CFDF2CF" w:rsidRPr="6ABD13AE">
        <w:rPr>
          <w:rStyle w:val="FootnoteReference"/>
          <w:rFonts w:ascii="Calibri" w:eastAsia="Calibri" w:hAnsi="Calibri" w:cs="Calibri"/>
          <w:lang w:val="en-GB"/>
        </w:rPr>
        <w:footnoteReference w:id="9"/>
      </w:r>
    </w:p>
    <w:p w14:paraId="7E9A6FBD" w14:textId="77777777" w:rsidR="00666519" w:rsidRPr="00AE6CAC" w:rsidRDefault="00666519" w:rsidP="00666519">
      <w:pPr>
        <w:pStyle w:val="ListParagraph"/>
        <w:ind w:left="1080"/>
        <w:rPr>
          <w:rFonts w:ascii="Calibri" w:eastAsia="Calibri" w:hAnsi="Calibri" w:cs="Calibri"/>
          <w:lang w:val="en-GB"/>
        </w:rPr>
      </w:pPr>
    </w:p>
    <w:p w14:paraId="1BB57864" w14:textId="3375D8F2" w:rsidR="1CFDF2CF" w:rsidRPr="007553D3" w:rsidRDefault="2ED88C2F" w:rsidP="00AE6CAC">
      <w:pPr>
        <w:pStyle w:val="ListParagraph"/>
        <w:numPr>
          <w:ilvl w:val="0"/>
          <w:numId w:val="7"/>
        </w:numPr>
        <w:rPr>
          <w:rFonts w:ascii="Calibri" w:eastAsia="Calibri" w:hAnsi="Calibri" w:cs="Calibri"/>
          <w:lang w:val="en-GB"/>
        </w:rPr>
      </w:pPr>
      <w:r w:rsidRPr="007553D3">
        <w:rPr>
          <w:rFonts w:ascii="Calibri" w:eastAsia="Calibri" w:hAnsi="Calibri" w:cs="Calibri"/>
          <w:lang w:val="en-GB"/>
        </w:rPr>
        <w:t>Similarly, in the “ Laundromat”</w:t>
      </w:r>
      <w:r w:rsidR="5594E741" w:rsidRPr="007553D3">
        <w:rPr>
          <w:rFonts w:ascii="Calibri" w:eastAsia="Calibri" w:hAnsi="Calibri" w:cs="Calibri"/>
          <w:lang w:val="en-GB"/>
        </w:rPr>
        <w:t xml:space="preserve"> scheme</w:t>
      </w:r>
      <w:r w:rsidR="7E61A76D" w:rsidRPr="007553D3">
        <w:rPr>
          <w:rFonts w:ascii="Calibri" w:eastAsia="Calibri" w:hAnsi="Calibri" w:cs="Calibri"/>
          <w:lang w:val="en-GB"/>
        </w:rPr>
        <w:t xml:space="preserve"> in a Central Asian country</w:t>
      </w:r>
      <w:r w:rsidRPr="007553D3">
        <w:rPr>
          <w:rFonts w:ascii="Calibri" w:eastAsia="Calibri" w:hAnsi="Calibri" w:cs="Calibri"/>
          <w:lang w:val="en-GB"/>
        </w:rPr>
        <w:t>, the Organized Crime and Corruption Reporting Project (OCCRP) uncovered a network</w:t>
      </w:r>
      <w:r w:rsidR="4384A89C" w:rsidRPr="007553D3">
        <w:rPr>
          <w:rFonts w:ascii="Calibri" w:eastAsia="Calibri" w:hAnsi="Calibri" w:cs="Calibri"/>
          <w:lang w:val="en-GB"/>
        </w:rPr>
        <w:t xml:space="preserve"> that used reputable banks</w:t>
      </w:r>
      <w:r w:rsidR="00AE6CAC" w:rsidRPr="007553D3">
        <w:rPr>
          <w:rFonts w:ascii="Calibri" w:eastAsia="Calibri" w:hAnsi="Calibri" w:cs="Calibri"/>
          <w:lang w:val="en-GB"/>
        </w:rPr>
        <w:t>, including the Baltic branch of Danske Bank,</w:t>
      </w:r>
      <w:r w:rsidR="4384A89C" w:rsidRPr="007553D3">
        <w:rPr>
          <w:rFonts w:ascii="Calibri" w:eastAsia="Calibri" w:hAnsi="Calibri" w:cs="Calibri"/>
          <w:lang w:val="en-GB"/>
        </w:rPr>
        <w:t xml:space="preserve"> and anonymous companies to funnel illicit payments from a US$2.9 billion slush fund to buy political influence and launder </w:t>
      </w:r>
      <w:r w:rsidR="45639BE8" w:rsidRPr="007553D3">
        <w:rPr>
          <w:rFonts w:ascii="Calibri" w:eastAsia="Calibri" w:hAnsi="Calibri" w:cs="Calibri"/>
          <w:lang w:val="en-GB"/>
        </w:rPr>
        <w:t>that country</w:t>
      </w:r>
      <w:r w:rsidRPr="007553D3">
        <w:rPr>
          <w:rFonts w:ascii="Calibri" w:eastAsia="Calibri" w:hAnsi="Calibri" w:cs="Calibri"/>
          <w:lang w:val="en-GB"/>
        </w:rPr>
        <w:t>’s international image, as well as to buy luxury goods and launder money.</w:t>
      </w:r>
      <w:r w:rsidR="1CFDF2CF" w:rsidRPr="007553D3">
        <w:rPr>
          <w:rStyle w:val="FootnoteReference"/>
          <w:rFonts w:ascii="Calibri" w:eastAsia="Calibri" w:hAnsi="Calibri" w:cs="Calibri"/>
          <w:lang w:val="en-GB"/>
        </w:rPr>
        <w:footnoteReference w:id="10"/>
      </w:r>
      <w:r w:rsidRPr="007553D3">
        <w:rPr>
          <w:rFonts w:ascii="Calibri" w:eastAsia="Calibri" w:hAnsi="Calibri" w:cs="Calibri"/>
          <w:lang w:val="en-GB"/>
        </w:rPr>
        <w:t xml:space="preserve"> </w:t>
      </w:r>
    </w:p>
    <w:p w14:paraId="29005E37" w14:textId="58C46046" w:rsidR="1CFDF2CF" w:rsidRDefault="6ABD13AE" w:rsidP="6ABD13AE">
      <w:pPr>
        <w:rPr>
          <w:rFonts w:ascii="Calibri" w:eastAsia="Calibri" w:hAnsi="Calibri" w:cs="Calibri"/>
          <w:lang w:val="en-GB"/>
        </w:rPr>
      </w:pPr>
      <w:r w:rsidRPr="6ABD13AE">
        <w:rPr>
          <w:rFonts w:ascii="Calibri" w:eastAsia="Calibri" w:hAnsi="Calibri" w:cs="Calibri"/>
          <w:lang w:val="en-GB"/>
        </w:rPr>
        <w:t>These recent cases confirm that it remains crucial for countries to implement their commitments on beneficial ownership transparency.</w:t>
      </w:r>
    </w:p>
    <w:p w14:paraId="651C2C7F" w14:textId="0D2A3768" w:rsidR="1CFDF2CF" w:rsidRDefault="2ED88C2F" w:rsidP="442DEEF5">
      <w:pPr>
        <w:rPr>
          <w:rFonts w:ascii="Calibri" w:eastAsia="Calibri" w:hAnsi="Calibri" w:cs="Calibri"/>
          <w:lang w:val="en-GB"/>
        </w:rPr>
      </w:pPr>
      <w:r w:rsidRPr="6ABD13AE">
        <w:rPr>
          <w:rFonts w:ascii="Calibri" w:eastAsia="Calibri" w:hAnsi="Calibri" w:cs="Calibri"/>
          <w:lang w:val="en-GB"/>
        </w:rPr>
        <w:t xml:space="preserve">While there has been some progress, the pace of implementation has been slow. For instance, an assessment conducted by Transparency International </w:t>
      </w:r>
      <w:r w:rsidR="76898275" w:rsidRPr="6ABD13AE">
        <w:rPr>
          <w:rFonts w:ascii="Calibri" w:eastAsia="Calibri" w:hAnsi="Calibri" w:cs="Calibri"/>
          <w:lang w:val="en-GB"/>
        </w:rPr>
        <w:t xml:space="preserve">in 2018 </w:t>
      </w:r>
      <w:r w:rsidRPr="6ABD13AE">
        <w:rPr>
          <w:rFonts w:ascii="Calibri" w:eastAsia="Calibri" w:hAnsi="Calibri" w:cs="Calibri"/>
          <w:lang w:val="en-GB"/>
        </w:rPr>
        <w:t>reveals that more than three years after the G20 Beneficial Ownership Principles were adopte</w:t>
      </w:r>
      <w:r w:rsidR="001C7D8E">
        <w:rPr>
          <w:rFonts w:ascii="Calibri" w:eastAsia="Calibri" w:hAnsi="Calibri" w:cs="Calibri"/>
          <w:lang w:val="en-GB"/>
        </w:rPr>
        <w:t>d,</w:t>
      </w:r>
      <w:r w:rsidRPr="6ABD13AE">
        <w:rPr>
          <w:rFonts w:ascii="Calibri" w:eastAsia="Calibri" w:hAnsi="Calibri" w:cs="Calibri"/>
          <w:lang w:val="en-GB"/>
        </w:rPr>
        <w:t xml:space="preserve"> </w:t>
      </w:r>
      <w:r w:rsidR="00BC57AF">
        <w:rPr>
          <w:rFonts w:ascii="Calibri" w:eastAsia="Calibri" w:hAnsi="Calibri" w:cs="Calibri"/>
          <w:lang w:val="en-GB"/>
        </w:rPr>
        <w:t>11</w:t>
      </w:r>
      <w:r w:rsidRPr="6ABD13AE">
        <w:rPr>
          <w:rFonts w:ascii="Calibri" w:eastAsia="Calibri" w:hAnsi="Calibri" w:cs="Calibri"/>
          <w:lang w:val="en-GB"/>
        </w:rPr>
        <w:t xml:space="preserve"> G20 countries still have weak or average beneficial ownership legal frameworks.</w:t>
      </w:r>
      <w:r w:rsidR="1CFDF2CF" w:rsidRPr="6ABD13AE">
        <w:rPr>
          <w:rStyle w:val="FootnoteReference"/>
          <w:rFonts w:ascii="Calibri" w:eastAsia="Calibri" w:hAnsi="Calibri" w:cs="Calibri"/>
          <w:lang w:val="en-GB"/>
        </w:rPr>
        <w:footnoteReference w:id="11"/>
      </w:r>
    </w:p>
    <w:p w14:paraId="26DE043A" w14:textId="2C4331FA" w:rsidR="6ABD13AE" w:rsidRDefault="6B68E5A9" w:rsidP="442DEEF5">
      <w:pPr>
        <w:rPr>
          <w:rFonts w:ascii="Calibri" w:eastAsia="Calibri" w:hAnsi="Calibri" w:cs="Calibri"/>
          <w:lang w:val="en-GB"/>
        </w:rPr>
      </w:pPr>
      <w:r w:rsidRPr="442DEEF5">
        <w:rPr>
          <w:rFonts w:ascii="Calibri" w:eastAsia="Calibri" w:hAnsi="Calibri" w:cs="Calibri"/>
          <w:lang w:val="en-GB"/>
        </w:rPr>
        <w:t>Unfortunately, in</w:t>
      </w:r>
      <w:r w:rsidR="4384A89C" w:rsidRPr="442DEEF5">
        <w:rPr>
          <w:rFonts w:ascii="Calibri" w:eastAsia="Calibri" w:hAnsi="Calibri" w:cs="Calibri"/>
          <w:lang w:val="en-GB"/>
        </w:rPr>
        <w:t xml:space="preserve"> most countries </w:t>
      </w:r>
      <w:r w:rsidR="35402BEE" w:rsidRPr="442DEEF5">
        <w:rPr>
          <w:rFonts w:ascii="Calibri" w:eastAsia="Calibri" w:hAnsi="Calibri" w:cs="Calibri"/>
          <w:lang w:val="en-GB"/>
        </w:rPr>
        <w:t xml:space="preserve">enforcement </w:t>
      </w:r>
      <w:r w:rsidR="4384A89C" w:rsidRPr="442DEEF5">
        <w:rPr>
          <w:rFonts w:ascii="Calibri" w:eastAsia="Calibri" w:hAnsi="Calibri" w:cs="Calibri"/>
          <w:lang w:val="en-GB"/>
        </w:rPr>
        <w:t>authorities still rely on beneficial ownership information recorded by banks, lawyers, account</w:t>
      </w:r>
      <w:r w:rsidR="00316A10">
        <w:rPr>
          <w:rFonts w:ascii="Calibri" w:eastAsia="Calibri" w:hAnsi="Calibri" w:cs="Calibri"/>
          <w:lang w:val="en-GB"/>
        </w:rPr>
        <w:t>ant</w:t>
      </w:r>
      <w:r w:rsidR="4384A89C" w:rsidRPr="442DEEF5">
        <w:rPr>
          <w:rFonts w:ascii="Calibri" w:eastAsia="Calibri" w:hAnsi="Calibri" w:cs="Calibri"/>
          <w:lang w:val="en-GB"/>
        </w:rPr>
        <w:t>s and real estate agents.</w:t>
      </w:r>
      <w:r w:rsidR="00AE6CAC">
        <w:rPr>
          <w:rFonts w:ascii="Calibri" w:eastAsia="Calibri" w:hAnsi="Calibri" w:cs="Calibri"/>
          <w:lang w:val="en-GB"/>
        </w:rPr>
        <w:t xml:space="preserve"> </w:t>
      </w:r>
      <w:r w:rsidR="00316A10">
        <w:rPr>
          <w:rFonts w:ascii="Calibri" w:eastAsia="Calibri" w:hAnsi="Calibri" w:cs="Calibri"/>
          <w:lang w:val="en-GB"/>
        </w:rPr>
        <w:t>This is confirmed by  TI</w:t>
      </w:r>
      <w:r w:rsidR="2ED88C2F" w:rsidRPr="442DEEF5">
        <w:rPr>
          <w:rFonts w:ascii="Calibri" w:eastAsia="Calibri" w:hAnsi="Calibri" w:cs="Calibri"/>
          <w:lang w:val="en-GB"/>
        </w:rPr>
        <w:t xml:space="preserve">’s </w:t>
      </w:r>
      <w:hyperlink r:id="rId9">
        <w:r w:rsidR="2ED88C2F" w:rsidRPr="442DEEF5">
          <w:rPr>
            <w:rFonts w:ascii="Calibri" w:eastAsia="Calibri" w:hAnsi="Calibri" w:cs="Calibri"/>
            <w:lang w:val="en-GB"/>
          </w:rPr>
          <w:t>2018 study</w:t>
        </w:r>
        <w:r w:rsidR="5AD4F86B" w:rsidRPr="442DEEF5">
          <w:rPr>
            <w:rFonts w:ascii="Calibri" w:eastAsia="Calibri" w:hAnsi="Calibri" w:cs="Calibri"/>
            <w:lang w:val="en-GB"/>
          </w:rPr>
          <w:t xml:space="preserve">, which </w:t>
        </w:r>
        <w:r w:rsidR="00316A10">
          <w:rPr>
            <w:rFonts w:ascii="Calibri" w:eastAsia="Calibri" w:hAnsi="Calibri" w:cs="Calibri"/>
            <w:lang w:val="en-GB"/>
          </w:rPr>
          <w:t>found that in 15 of the</w:t>
        </w:r>
        <w:r w:rsidR="00316A10" w:rsidRPr="442DEEF5">
          <w:rPr>
            <w:rFonts w:ascii="Calibri" w:eastAsia="Calibri" w:hAnsi="Calibri" w:cs="Calibri"/>
            <w:lang w:val="en-GB"/>
          </w:rPr>
          <w:t xml:space="preserve"> </w:t>
        </w:r>
        <w:r w:rsidR="5AD4F86B" w:rsidRPr="442DEEF5">
          <w:rPr>
            <w:rFonts w:ascii="Calibri" w:eastAsia="Calibri" w:hAnsi="Calibri" w:cs="Calibri"/>
            <w:lang w:val="en-GB"/>
          </w:rPr>
          <w:t xml:space="preserve">23 </w:t>
        </w:r>
      </w:hyperlink>
      <w:r w:rsidR="2ED88C2F" w:rsidRPr="442DEEF5">
        <w:rPr>
          <w:rFonts w:ascii="Calibri" w:eastAsia="Calibri" w:hAnsi="Calibri" w:cs="Calibri"/>
          <w:lang w:val="en-GB"/>
        </w:rPr>
        <w:t>G20 member and guest countries</w:t>
      </w:r>
      <w:r w:rsidR="343513A6" w:rsidRPr="442DEEF5">
        <w:rPr>
          <w:rFonts w:ascii="Calibri" w:eastAsia="Calibri" w:hAnsi="Calibri" w:cs="Calibri"/>
          <w:lang w:val="en-GB"/>
        </w:rPr>
        <w:t>,</w:t>
      </w:r>
      <w:r w:rsidR="2ED88C2F" w:rsidRPr="442DEEF5">
        <w:rPr>
          <w:rFonts w:ascii="Calibri" w:eastAsia="Calibri" w:hAnsi="Calibri" w:cs="Calibri"/>
          <w:lang w:val="en-GB"/>
        </w:rPr>
        <w:t xml:space="preserve"> investigators rely almost solely on the information collected by banks. This is a flawed approach and does not guarantee that authorities will have </w:t>
      </w:r>
      <w:r w:rsidR="00BC57AF">
        <w:rPr>
          <w:rFonts w:ascii="Calibri" w:eastAsia="Calibri" w:hAnsi="Calibri" w:cs="Calibri"/>
          <w:lang w:val="en-GB"/>
        </w:rPr>
        <w:t xml:space="preserve">timely </w:t>
      </w:r>
      <w:r w:rsidR="2ED88C2F" w:rsidRPr="442DEEF5">
        <w:rPr>
          <w:rFonts w:ascii="Calibri" w:eastAsia="Calibri" w:hAnsi="Calibri" w:cs="Calibri"/>
          <w:lang w:val="en-GB"/>
        </w:rPr>
        <w:t>access to accurate</w:t>
      </w:r>
      <w:r w:rsidR="00BC57AF">
        <w:rPr>
          <w:rFonts w:ascii="Calibri" w:eastAsia="Calibri" w:hAnsi="Calibri" w:cs="Calibri"/>
          <w:lang w:val="en-GB"/>
        </w:rPr>
        <w:t xml:space="preserve"> and </w:t>
      </w:r>
      <w:r w:rsidR="2ED88C2F" w:rsidRPr="442DEEF5">
        <w:rPr>
          <w:rFonts w:ascii="Calibri" w:eastAsia="Calibri" w:hAnsi="Calibri" w:cs="Calibri"/>
          <w:lang w:val="en-GB"/>
        </w:rPr>
        <w:t>reliable beneficial ownership information.</w:t>
      </w:r>
    </w:p>
    <w:p w14:paraId="3D29B972" w14:textId="433841A4" w:rsidR="6ABD13AE" w:rsidRDefault="2ED88C2F" w:rsidP="442DEEF5">
      <w:pPr>
        <w:rPr>
          <w:rFonts w:ascii="Calibri" w:eastAsia="Calibri" w:hAnsi="Calibri" w:cs="Calibri"/>
          <w:lang w:val="en-GB"/>
        </w:rPr>
      </w:pPr>
      <w:r w:rsidRPr="442DEEF5">
        <w:rPr>
          <w:rFonts w:ascii="Calibri" w:eastAsia="Calibri" w:hAnsi="Calibri" w:cs="Calibri"/>
          <w:lang w:val="en-GB"/>
        </w:rPr>
        <w:t>The challenges are also obvious when looking at the FATF mutual evaluation reports. Implementation of the beneficial ownership standard has been weak across the global network of countries assessed. The vast majority of countries receive low ratings and have inadequate mechanisms to ensure law enforcement authorities have timely access to reliable be</w:t>
      </w:r>
      <w:r w:rsidR="00AE6CAC">
        <w:rPr>
          <w:rFonts w:ascii="Calibri" w:eastAsia="Calibri" w:hAnsi="Calibri" w:cs="Calibri"/>
          <w:lang w:val="en-GB"/>
        </w:rPr>
        <w:t>neficial ownership information.</w:t>
      </w:r>
      <w:r w:rsidR="6ABD13AE" w:rsidRPr="442DEEF5">
        <w:rPr>
          <w:rStyle w:val="FootnoteReference"/>
          <w:rFonts w:ascii="Calibri" w:eastAsia="Calibri" w:hAnsi="Calibri" w:cs="Calibri"/>
          <w:lang w:val="en-GB"/>
        </w:rPr>
        <w:footnoteReference w:id="12"/>
      </w:r>
    </w:p>
    <w:p w14:paraId="1D18E207" w14:textId="1933BBE4" w:rsidR="6ABD13AE" w:rsidRDefault="4384A89C" w:rsidP="442DEEF5">
      <w:pPr>
        <w:rPr>
          <w:rFonts w:ascii="Calibri" w:eastAsia="Calibri" w:hAnsi="Calibri" w:cs="Calibri"/>
          <w:lang w:val="en-GB"/>
        </w:rPr>
      </w:pPr>
      <w:r w:rsidRPr="442DEEF5">
        <w:rPr>
          <w:rFonts w:ascii="Calibri" w:eastAsia="Calibri" w:hAnsi="Calibri" w:cs="Calibri"/>
          <w:lang w:val="en-GB"/>
        </w:rPr>
        <w:t>It is noteworthy that the countries with better ratings all have beneficial ownership information recorded in at least one register</w:t>
      </w:r>
      <w:r w:rsidR="001C7D8E">
        <w:rPr>
          <w:rFonts w:ascii="Calibri" w:eastAsia="Calibri" w:hAnsi="Calibri" w:cs="Calibri"/>
          <w:lang w:val="en-GB"/>
        </w:rPr>
        <w:t>.</w:t>
      </w:r>
      <w:r w:rsidR="00F50966">
        <w:rPr>
          <w:rFonts w:ascii="Calibri" w:eastAsia="Calibri" w:hAnsi="Calibri" w:cs="Calibri"/>
          <w:lang w:val="en-GB"/>
        </w:rPr>
        <w:t xml:space="preserve"> </w:t>
      </w:r>
    </w:p>
    <w:p w14:paraId="1436375B" w14:textId="65BC59C2" w:rsidR="6ABD13AE" w:rsidRDefault="6ABD13AE" w:rsidP="6ABD13AE">
      <w:pPr>
        <w:rPr>
          <w:rFonts w:ascii="Calibri" w:eastAsia="Calibri" w:hAnsi="Calibri" w:cs="Calibri"/>
          <w:lang w:val="en-GB"/>
        </w:rPr>
      </w:pPr>
      <w:r w:rsidRPr="6ABD13AE">
        <w:rPr>
          <w:rFonts w:ascii="Calibri" w:eastAsia="Calibri" w:hAnsi="Calibri" w:cs="Calibri"/>
          <w:lang w:val="en-GB"/>
        </w:rPr>
        <w:t>A public beneficial ownership register can guarantee timely access to information and help improve the accuracy of the data provided in several ways:</w:t>
      </w:r>
    </w:p>
    <w:p w14:paraId="7BF6712E" w14:textId="1D5FA7EA" w:rsidR="6ABD13AE" w:rsidRDefault="6ABD13AE" w:rsidP="6ABD13AE">
      <w:pPr>
        <w:pStyle w:val="ListParagraph"/>
        <w:numPr>
          <w:ilvl w:val="0"/>
          <w:numId w:val="3"/>
        </w:numPr>
        <w:rPr>
          <w:lang w:val="en-GB"/>
        </w:rPr>
      </w:pPr>
      <w:r w:rsidRPr="6ABD13AE">
        <w:rPr>
          <w:rFonts w:ascii="Calibri" w:eastAsia="Calibri" w:hAnsi="Calibri" w:cs="Calibri"/>
          <w:lang w:val="en-GB"/>
        </w:rPr>
        <w:t>Authorities no longer have to request information from the entity, corporate service provider or bank — although if they want to cross-check information, they can still do so.</w:t>
      </w:r>
    </w:p>
    <w:p w14:paraId="66A0821C" w14:textId="57CA7759" w:rsidR="6ABD13AE" w:rsidRDefault="4384A89C" w:rsidP="442DEEF5">
      <w:pPr>
        <w:pStyle w:val="ListParagraph"/>
        <w:numPr>
          <w:ilvl w:val="0"/>
          <w:numId w:val="3"/>
        </w:numPr>
        <w:rPr>
          <w:lang w:val="en-GB"/>
        </w:rPr>
      </w:pPr>
      <w:r w:rsidRPr="442DEEF5">
        <w:rPr>
          <w:rFonts w:ascii="Calibri" w:eastAsia="Calibri" w:hAnsi="Calibri" w:cs="Calibri"/>
          <w:lang w:val="en-GB"/>
        </w:rPr>
        <w:t>Foreign authorities do not need to go through lengthy and complex mutual legal assistance requests</w:t>
      </w:r>
      <w:r w:rsidR="0F9EC418" w:rsidRPr="442DEEF5">
        <w:rPr>
          <w:rFonts w:ascii="Calibri" w:eastAsia="Calibri" w:hAnsi="Calibri" w:cs="Calibri"/>
          <w:lang w:val="en-GB"/>
        </w:rPr>
        <w:t>.</w:t>
      </w:r>
    </w:p>
    <w:p w14:paraId="1EDDC6FA" w14:textId="577D65AD" w:rsidR="6ABD13AE" w:rsidRDefault="4384A89C" w:rsidP="442DEEF5">
      <w:pPr>
        <w:pStyle w:val="ListParagraph"/>
        <w:numPr>
          <w:ilvl w:val="0"/>
          <w:numId w:val="3"/>
        </w:numPr>
        <w:rPr>
          <w:lang w:val="en-GB"/>
        </w:rPr>
      </w:pPr>
      <w:r w:rsidRPr="442DEEF5">
        <w:rPr>
          <w:rFonts w:ascii="Calibri" w:eastAsia="Calibri" w:hAnsi="Calibri" w:cs="Calibri"/>
          <w:lang w:val="en-GB"/>
        </w:rPr>
        <w:t>Banks, corporate service providers, lawyers and real estate agents, wherever they are located, can easily check information when conducting due diligence</w:t>
      </w:r>
      <w:r w:rsidR="0E3BA2F5" w:rsidRPr="442DEEF5">
        <w:rPr>
          <w:rFonts w:ascii="Calibri" w:eastAsia="Calibri" w:hAnsi="Calibri" w:cs="Calibri"/>
          <w:lang w:val="en-GB"/>
        </w:rPr>
        <w:t>.</w:t>
      </w:r>
    </w:p>
    <w:p w14:paraId="4681FA51" w14:textId="35B564C9" w:rsidR="6ABD13AE" w:rsidRDefault="4384A89C" w:rsidP="442DEEF5">
      <w:pPr>
        <w:pStyle w:val="ListParagraph"/>
        <w:numPr>
          <w:ilvl w:val="0"/>
          <w:numId w:val="3"/>
        </w:numPr>
        <w:rPr>
          <w:lang w:val="en-GB"/>
        </w:rPr>
      </w:pPr>
      <w:r w:rsidRPr="442DEEF5">
        <w:rPr>
          <w:rFonts w:ascii="Calibri" w:eastAsia="Calibri" w:hAnsi="Calibri" w:cs="Calibri"/>
          <w:lang w:val="en-GB"/>
        </w:rPr>
        <w:t>The private sector can access information on business partners</w:t>
      </w:r>
      <w:r w:rsidR="25A01DE1" w:rsidRPr="442DEEF5">
        <w:rPr>
          <w:rFonts w:ascii="Calibri" w:eastAsia="Calibri" w:hAnsi="Calibri" w:cs="Calibri"/>
          <w:lang w:val="en-GB"/>
        </w:rPr>
        <w:t>.</w:t>
      </w:r>
    </w:p>
    <w:p w14:paraId="4BEB1C5F" w14:textId="21B4CF6D" w:rsidR="6ABD13AE" w:rsidRDefault="2ED88C2F" w:rsidP="442DEEF5">
      <w:pPr>
        <w:pStyle w:val="ListParagraph"/>
        <w:numPr>
          <w:ilvl w:val="0"/>
          <w:numId w:val="3"/>
        </w:numPr>
        <w:rPr>
          <w:lang w:val="en-GB"/>
        </w:rPr>
      </w:pPr>
      <w:r w:rsidRPr="442DEEF5">
        <w:rPr>
          <w:rFonts w:ascii="Calibri" w:eastAsia="Calibri" w:hAnsi="Calibri" w:cs="Calibri"/>
          <w:lang w:val="en-GB"/>
        </w:rPr>
        <w:t>Civil society and journalists can uncover</w:t>
      </w:r>
      <w:r w:rsidR="7D009265" w:rsidRPr="442DEEF5">
        <w:rPr>
          <w:rFonts w:ascii="Calibri" w:eastAsia="Calibri" w:hAnsi="Calibri" w:cs="Calibri"/>
          <w:lang w:val="en-GB"/>
        </w:rPr>
        <w:t xml:space="preserve"> </w:t>
      </w:r>
      <w:r w:rsidRPr="442DEEF5">
        <w:rPr>
          <w:rFonts w:ascii="Calibri" w:eastAsia="Calibri" w:hAnsi="Calibri" w:cs="Calibri"/>
          <w:lang w:val="en-GB"/>
        </w:rPr>
        <w:t>illicit activity as well as monitor the accuracy of the information registered.</w:t>
      </w:r>
    </w:p>
    <w:p w14:paraId="39699F94" w14:textId="76E596F0" w:rsidR="6ABD13AE" w:rsidRDefault="2ED88C2F" w:rsidP="6ABD13AE">
      <w:r w:rsidRPr="442DEEF5">
        <w:rPr>
          <w:rFonts w:ascii="Calibri" w:eastAsia="Calibri" w:hAnsi="Calibri" w:cs="Calibri"/>
          <w:lang w:val="en-GB"/>
        </w:rPr>
        <w:t xml:space="preserve">A whole array of measures </w:t>
      </w:r>
      <w:r w:rsidR="5AEDAC6A" w:rsidRPr="442DEEF5">
        <w:rPr>
          <w:rFonts w:ascii="Calibri" w:eastAsia="Calibri" w:hAnsi="Calibri" w:cs="Calibri"/>
          <w:lang w:val="en-GB"/>
        </w:rPr>
        <w:t>should be introduced</w:t>
      </w:r>
      <w:r w:rsidRPr="442DEEF5">
        <w:rPr>
          <w:rFonts w:ascii="Calibri" w:eastAsia="Calibri" w:hAnsi="Calibri" w:cs="Calibri"/>
          <w:lang w:val="en-GB"/>
        </w:rPr>
        <w:t xml:space="preserve"> </w:t>
      </w:r>
      <w:r w:rsidR="45341E04" w:rsidRPr="442DEEF5">
        <w:rPr>
          <w:rFonts w:ascii="Calibri" w:eastAsia="Calibri" w:hAnsi="Calibri" w:cs="Calibri"/>
          <w:lang w:val="en-GB"/>
        </w:rPr>
        <w:t>to address</w:t>
      </w:r>
      <w:r w:rsidRPr="442DEEF5">
        <w:rPr>
          <w:rFonts w:ascii="Calibri" w:eastAsia="Calibri" w:hAnsi="Calibri" w:cs="Calibri"/>
          <w:lang w:val="en-GB"/>
        </w:rPr>
        <w:t xml:space="preserve"> secrecy around company ownership. In particular, jurisdictions should: </w:t>
      </w:r>
    </w:p>
    <w:p w14:paraId="266E63A2" w14:textId="280D25D8" w:rsidR="6ABD13AE" w:rsidRPr="00AE6CAC" w:rsidRDefault="2ED88C2F" w:rsidP="6ABD13AE">
      <w:pPr>
        <w:pStyle w:val="ListParagraph"/>
        <w:numPr>
          <w:ilvl w:val="0"/>
          <w:numId w:val="6"/>
        </w:numPr>
        <w:rPr>
          <w:lang w:val="en-US"/>
        </w:rPr>
      </w:pPr>
      <w:r w:rsidRPr="442DEEF5">
        <w:rPr>
          <w:rFonts w:ascii="Calibri" w:eastAsia="Calibri" w:hAnsi="Calibri" w:cs="Calibri"/>
          <w:b/>
          <w:bCs/>
          <w:lang w:val="en-GB"/>
        </w:rPr>
        <w:t>Create and publish a central, open register (in open-data format) of the beneficial owners of all registered corporate entities, including foundations and partnerships</w:t>
      </w:r>
      <w:r w:rsidRPr="442DEEF5">
        <w:rPr>
          <w:rFonts w:ascii="Calibri" w:eastAsia="Calibri" w:hAnsi="Calibri" w:cs="Calibri"/>
          <w:lang w:val="en-GB"/>
        </w:rPr>
        <w:t xml:space="preserve">. To be effective, registers of beneficial owners must apply to all types of corporate entities. Registers should include entities registered in foreign jurisdictions that operate within the jurisdiction of the register. Registers must also be fully searchable, regularly updated and contain all historical changes in ownership. </w:t>
      </w:r>
    </w:p>
    <w:p w14:paraId="38562853" w14:textId="77777777" w:rsidR="00AA016B" w:rsidRPr="00AE6CAC" w:rsidRDefault="00AA016B" w:rsidP="00AA016B">
      <w:pPr>
        <w:pStyle w:val="ListParagraph"/>
        <w:rPr>
          <w:lang w:val="en-US"/>
        </w:rPr>
      </w:pPr>
    </w:p>
    <w:p w14:paraId="23B4BC24" w14:textId="3FB5987F" w:rsidR="4F56FBE5" w:rsidRPr="00AE6CAC" w:rsidRDefault="74481798" w:rsidP="4F56FBE5">
      <w:pPr>
        <w:pStyle w:val="ListParagraph"/>
        <w:numPr>
          <w:ilvl w:val="0"/>
          <w:numId w:val="2"/>
        </w:numPr>
        <w:rPr>
          <w:lang w:val="en-US"/>
        </w:rPr>
      </w:pPr>
      <w:r w:rsidRPr="66D345A2">
        <w:rPr>
          <w:rFonts w:ascii="Calibri" w:eastAsia="Calibri" w:hAnsi="Calibri" w:cs="Calibri"/>
          <w:b/>
          <w:bCs/>
          <w:lang w:val="en-GB"/>
        </w:rPr>
        <w:t>Require the registration of both domestic and foreign trusts operating in their country.</w:t>
      </w:r>
      <w:r w:rsidRPr="66D345A2">
        <w:rPr>
          <w:rFonts w:ascii="Calibri" w:eastAsia="Calibri" w:hAnsi="Calibri" w:cs="Calibri"/>
          <w:lang w:val="en-GB"/>
        </w:rPr>
        <w:t xml:space="preserve"> Information on all parties to the trust (trustee, settlor and beneficiaries), and the real individuals behind them should be recorded.</w:t>
      </w:r>
    </w:p>
    <w:p w14:paraId="34A80DD7" w14:textId="77777777" w:rsidR="00AA016B" w:rsidRPr="00F50966" w:rsidRDefault="00AA016B" w:rsidP="00AA016B">
      <w:pPr>
        <w:pStyle w:val="ListParagraph"/>
        <w:rPr>
          <w:lang w:val="en-US"/>
        </w:rPr>
      </w:pPr>
    </w:p>
    <w:p w14:paraId="7B89008A" w14:textId="098D2FAC" w:rsidR="00AA016B" w:rsidRPr="00666519" w:rsidRDefault="34F0835B" w:rsidP="00666519">
      <w:pPr>
        <w:pStyle w:val="ListParagraph"/>
        <w:numPr>
          <w:ilvl w:val="0"/>
          <w:numId w:val="2"/>
        </w:numPr>
        <w:rPr>
          <w:b/>
          <w:bCs/>
          <w:lang w:val="en-US"/>
        </w:rPr>
      </w:pPr>
      <w:r w:rsidRPr="66D345A2">
        <w:rPr>
          <w:rFonts w:ascii="Calibri" w:eastAsia="Calibri" w:hAnsi="Calibri" w:cs="Calibri"/>
          <w:b/>
          <w:bCs/>
          <w:lang w:val="en-GB"/>
        </w:rPr>
        <w:t xml:space="preserve">Ensure that regulations clearly and narrowly define beneficial owners. </w:t>
      </w:r>
      <w:r w:rsidRPr="66D345A2">
        <w:rPr>
          <w:rFonts w:ascii="Calibri" w:eastAsia="Calibri" w:hAnsi="Calibri" w:cs="Calibri"/>
          <w:lang w:val="en-GB"/>
        </w:rPr>
        <w:t xml:space="preserve"> Individuals hiding behind anonymous companies may seek to avoid identification by exploiting legal loopholes</w:t>
      </w:r>
      <w:r w:rsidR="48C3AEA2" w:rsidRPr="66D345A2">
        <w:rPr>
          <w:rFonts w:ascii="Calibri" w:eastAsia="Calibri" w:hAnsi="Calibri" w:cs="Calibri"/>
          <w:lang w:val="en-GB"/>
        </w:rPr>
        <w:t xml:space="preserve">, such as inadequate ownership threshold or the possibility to list a senior manager as the beneficial owner. </w:t>
      </w:r>
      <w:r w:rsidRPr="66D345A2">
        <w:rPr>
          <w:rFonts w:ascii="Calibri" w:eastAsia="Calibri" w:hAnsi="Calibri" w:cs="Calibri"/>
          <w:lang w:val="en-GB"/>
        </w:rPr>
        <w:t xml:space="preserve">Governments must prevent this by adopting regulations that capture the meaning of beneficial ownership in a precise and comprehensive manner.  </w:t>
      </w:r>
    </w:p>
    <w:p w14:paraId="086A83F9" w14:textId="4C75BB16" w:rsidR="00666519" w:rsidRPr="00666519" w:rsidRDefault="00666519" w:rsidP="00666519">
      <w:pPr>
        <w:spacing w:after="0"/>
        <w:rPr>
          <w:b/>
          <w:bCs/>
          <w:lang w:val="en-US"/>
        </w:rPr>
      </w:pPr>
    </w:p>
    <w:p w14:paraId="54D8A801" w14:textId="61EDFE20" w:rsidR="6ABD13AE" w:rsidRPr="00F50966" w:rsidRDefault="6ABD13AE" w:rsidP="6ABD13AE">
      <w:pPr>
        <w:pStyle w:val="ListParagraph"/>
        <w:numPr>
          <w:ilvl w:val="0"/>
          <w:numId w:val="2"/>
        </w:numPr>
        <w:rPr>
          <w:lang w:val="en-US"/>
        </w:rPr>
      </w:pPr>
      <w:r w:rsidRPr="6ABD13AE">
        <w:rPr>
          <w:b/>
          <w:bCs/>
          <w:lang w:val="en-GB"/>
        </w:rPr>
        <w:t xml:space="preserve">Resource and establish mechanisms to ensure </w:t>
      </w:r>
      <w:r w:rsidR="001C7D8E">
        <w:rPr>
          <w:b/>
          <w:bCs/>
          <w:lang w:val="en-GB"/>
        </w:rPr>
        <w:t>the verification of b</w:t>
      </w:r>
      <w:r w:rsidRPr="6ABD13AE">
        <w:rPr>
          <w:b/>
          <w:bCs/>
          <w:lang w:val="en-GB"/>
        </w:rPr>
        <w:t>eneficial ownership information,</w:t>
      </w:r>
      <w:r w:rsidR="00612FC6">
        <w:rPr>
          <w:lang w:val="en-GB"/>
        </w:rPr>
        <w:t xml:space="preserve"> such as cross </w:t>
      </w:r>
      <w:r w:rsidRPr="6ABD13AE">
        <w:rPr>
          <w:lang w:val="en-GB"/>
        </w:rPr>
        <w:t xml:space="preserve">checking the data against other government and tax databases, or conducting random inspections. </w:t>
      </w:r>
      <w:r w:rsidRPr="6ABD13AE">
        <w:rPr>
          <w:rFonts w:ascii="Calibri" w:eastAsia="Calibri" w:hAnsi="Calibri" w:cs="Calibri"/>
          <w:lang w:val="en-GB"/>
        </w:rPr>
        <w:t>Financial criminals may seek to provide inaccurate or incomplete information. Robust procedures to collect and verify information prior to publication can help to mitigate this, but they must also be supported by meaningful sanctions – such as the exclusion of a non-compliant individual from exercising their rights within the company (for example, voting or receiving dividends).</w:t>
      </w:r>
    </w:p>
    <w:p w14:paraId="403E22BB" w14:textId="492D1F11" w:rsidR="6ABD13AE" w:rsidRPr="00F50966" w:rsidRDefault="6ABD13AE" w:rsidP="00AA016B">
      <w:pPr>
        <w:spacing w:after="0"/>
        <w:rPr>
          <w:lang w:val="en-US"/>
        </w:rPr>
      </w:pPr>
    </w:p>
    <w:p w14:paraId="06006FB3" w14:textId="1D1AE111" w:rsidR="6ABD13AE" w:rsidRPr="00F50966" w:rsidRDefault="611B277B" w:rsidP="66D345A2">
      <w:pPr>
        <w:pStyle w:val="ListParagraph"/>
        <w:numPr>
          <w:ilvl w:val="0"/>
          <w:numId w:val="2"/>
        </w:numPr>
        <w:rPr>
          <w:lang w:val="en-US"/>
        </w:rPr>
      </w:pPr>
      <w:r w:rsidRPr="66D345A2">
        <w:rPr>
          <w:rFonts w:ascii="Calibri" w:eastAsia="Calibri" w:hAnsi="Calibri" w:cs="Calibri"/>
          <w:b/>
          <w:bCs/>
          <w:lang w:val="en-GB"/>
        </w:rPr>
        <w:t>Undertake national money laundering risk assessments on a regular basis</w:t>
      </w:r>
      <w:r w:rsidRPr="66D345A2">
        <w:rPr>
          <w:rFonts w:ascii="Calibri" w:eastAsia="Calibri" w:hAnsi="Calibri" w:cs="Calibri"/>
          <w:lang w:val="en-GB"/>
        </w:rPr>
        <w:t>. These should include an analysis of the risks posed by domestic and foreign legal entities and arrangements. Key stakeholders, including obliged entities and civil society organisations should be consulted</w:t>
      </w:r>
      <w:r w:rsidR="00BC57AF">
        <w:rPr>
          <w:rFonts w:ascii="Calibri" w:eastAsia="Calibri" w:hAnsi="Calibri" w:cs="Calibri"/>
          <w:lang w:val="en-GB"/>
        </w:rPr>
        <w:t xml:space="preserve"> and the results of the assessment published. </w:t>
      </w:r>
    </w:p>
    <w:p w14:paraId="4546F892" w14:textId="77777777" w:rsidR="00F50966" w:rsidRPr="00F50966" w:rsidRDefault="00F50966" w:rsidP="00F50966">
      <w:pPr>
        <w:pStyle w:val="ListParagraph"/>
        <w:rPr>
          <w:lang w:val="en-US"/>
        </w:rPr>
      </w:pPr>
    </w:p>
    <w:p w14:paraId="2B390379" w14:textId="77777777" w:rsidR="00F50966" w:rsidRPr="00F50966" w:rsidRDefault="00F50966" w:rsidP="00F50966">
      <w:pPr>
        <w:pStyle w:val="ListParagraph"/>
        <w:rPr>
          <w:lang w:val="en-US"/>
        </w:rPr>
      </w:pPr>
    </w:p>
    <w:p w14:paraId="098F688F" w14:textId="60865940" w:rsidR="6ABD13AE" w:rsidRPr="00F50966" w:rsidRDefault="6ABD13AE" w:rsidP="6ABD13AE">
      <w:pPr>
        <w:pStyle w:val="ListParagraph"/>
        <w:numPr>
          <w:ilvl w:val="0"/>
          <w:numId w:val="2"/>
        </w:numPr>
        <w:rPr>
          <w:lang w:val="en-US"/>
        </w:rPr>
      </w:pPr>
      <w:r w:rsidRPr="6ABD13AE">
        <w:rPr>
          <w:rFonts w:ascii="Calibri" w:eastAsia="Calibri" w:hAnsi="Calibri" w:cs="Calibri"/>
          <w:b/>
          <w:bCs/>
          <w:lang w:val="en-GB"/>
        </w:rPr>
        <w:t>Consider prohibiting nominee shareholders</w:t>
      </w:r>
      <w:r w:rsidRPr="6ABD13AE">
        <w:rPr>
          <w:rFonts w:ascii="Calibri" w:eastAsia="Calibri" w:hAnsi="Calibri" w:cs="Calibri"/>
          <w:lang w:val="en-GB"/>
        </w:rPr>
        <w:t xml:space="preserve">. If they are allowed, they should disclose their status upon the registration of the company and </w:t>
      </w:r>
      <w:r w:rsidR="001C7D8E">
        <w:rPr>
          <w:rFonts w:ascii="Calibri" w:eastAsia="Calibri" w:hAnsi="Calibri" w:cs="Calibri"/>
          <w:lang w:val="en-GB"/>
        </w:rPr>
        <w:t xml:space="preserve">be </w:t>
      </w:r>
      <w:r w:rsidRPr="6ABD13AE">
        <w:rPr>
          <w:rFonts w:ascii="Calibri" w:eastAsia="Calibri" w:hAnsi="Calibri" w:cs="Calibri"/>
          <w:lang w:val="en-GB"/>
        </w:rPr>
        <w:t xml:space="preserve">registered as nominees. Nominees should be licensed and subject to strict anti-money laundering obligations. </w:t>
      </w:r>
    </w:p>
    <w:p w14:paraId="5EC61B5A" w14:textId="4946A8EB" w:rsidR="1CFDF2CF" w:rsidRPr="00F50966" w:rsidRDefault="1CFDF2CF" w:rsidP="1CFDF2CF">
      <w:pPr>
        <w:rPr>
          <w:lang w:val="en-US"/>
        </w:rPr>
      </w:pPr>
    </w:p>
    <w:p w14:paraId="7D2A0348" w14:textId="4063A5C3" w:rsidR="1CFDF2CF" w:rsidRPr="00F50966" w:rsidRDefault="4384A89C" w:rsidP="442DEEF5">
      <w:pPr>
        <w:rPr>
          <w:rFonts w:ascii="Calibri" w:eastAsia="Calibri" w:hAnsi="Calibri" w:cs="Calibri"/>
          <w:lang w:val="en-US"/>
        </w:rPr>
      </w:pPr>
      <w:r w:rsidRPr="00F50966">
        <w:rPr>
          <w:rFonts w:ascii="Calibri" w:eastAsia="Calibri" w:hAnsi="Calibri" w:cs="Calibri"/>
          <w:lang w:val="en-US"/>
        </w:rPr>
        <w:t>We call on the UNCAC Conference of States Parties to adopt a resolution</w:t>
      </w:r>
      <w:r w:rsidR="00612FC6">
        <w:rPr>
          <w:rFonts w:ascii="Calibri" w:eastAsia="Calibri" w:hAnsi="Calibri" w:cs="Calibri"/>
          <w:lang w:val="en-US"/>
        </w:rPr>
        <w:t xml:space="preserve"> </w:t>
      </w:r>
      <w:r w:rsidR="00612FC6" w:rsidRPr="00F50966">
        <w:rPr>
          <w:rFonts w:ascii="Calibri" w:eastAsia="Calibri" w:hAnsi="Calibri" w:cs="Calibri"/>
          <w:lang w:val="en-US"/>
        </w:rPr>
        <w:t>at its 8th session</w:t>
      </w:r>
      <w:r w:rsidR="00612FC6">
        <w:rPr>
          <w:rFonts w:ascii="Calibri" w:eastAsia="Calibri" w:hAnsi="Calibri" w:cs="Calibri"/>
          <w:lang w:val="en-US"/>
        </w:rPr>
        <w:t xml:space="preserve"> </w:t>
      </w:r>
      <w:bookmarkStart w:id="0" w:name="_GoBack"/>
      <w:bookmarkEnd w:id="0"/>
      <w:r w:rsidRPr="00F50966">
        <w:rPr>
          <w:rFonts w:ascii="Calibri" w:eastAsia="Calibri" w:hAnsi="Calibri" w:cs="Calibri"/>
          <w:lang w:val="en-US"/>
        </w:rPr>
        <w:t xml:space="preserve"> encouraging States Parties to take these steps, We also call on the Conference of States Parties to place t</w:t>
      </w:r>
      <w:r w:rsidR="1217D452" w:rsidRPr="00F50966">
        <w:rPr>
          <w:rFonts w:ascii="Calibri" w:eastAsia="Calibri" w:hAnsi="Calibri" w:cs="Calibri"/>
          <w:lang w:val="en-US"/>
        </w:rPr>
        <w:t xml:space="preserve">he issue of public registers of beneficial ownership </w:t>
      </w:r>
      <w:r w:rsidRPr="00F50966">
        <w:rPr>
          <w:rFonts w:ascii="Calibri" w:eastAsia="Calibri" w:hAnsi="Calibri" w:cs="Calibri"/>
          <w:lang w:val="en-US"/>
        </w:rPr>
        <w:t>on the agenda of the UN General Assembly Special Session on Corruption due to take place in 2021.</w:t>
      </w:r>
    </w:p>
    <w:p w14:paraId="4A15FA6A" w14:textId="4834A3ED" w:rsidR="00AA016B" w:rsidRPr="00F50966" w:rsidRDefault="00AA016B" w:rsidP="442DEEF5">
      <w:pPr>
        <w:rPr>
          <w:rFonts w:ascii="Calibri" w:eastAsia="Calibri" w:hAnsi="Calibri" w:cs="Calibri"/>
          <w:lang w:val="en-US"/>
        </w:rPr>
      </w:pPr>
    </w:p>
    <w:p w14:paraId="268198C3" w14:textId="54CE2643" w:rsidR="00AA016B" w:rsidRPr="00AA016B" w:rsidRDefault="00AA016B" w:rsidP="00AA016B">
      <w:pPr>
        <w:jc w:val="right"/>
        <w:rPr>
          <w:rFonts w:ascii="Calibri" w:eastAsia="Calibri" w:hAnsi="Calibri" w:cs="Calibri"/>
        </w:rPr>
      </w:pPr>
      <w:r w:rsidRPr="00AA016B">
        <w:rPr>
          <w:rFonts w:ascii="Calibri" w:eastAsia="Calibri" w:hAnsi="Calibri" w:cs="Calibri"/>
          <w:bCs/>
        </w:rPr>
        <w:t>21 August 2019</w:t>
      </w:r>
    </w:p>
    <w:sectPr w:rsidR="00AA016B" w:rsidRPr="00AA016B">
      <w:footerReference w:type="default" r:id="rId10"/>
      <w:pgSz w:w="11906" w:h="16838"/>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1A2DB50" w16cid:durableId="373B72ED"/>
  <w16cid:commentId w16cid:paraId="202F239C" w16cid:durableId="46D04AEF"/>
  <w16cid:commentId w16cid:paraId="048C499F" w16cid:durableId="4A3013D4"/>
  <w16cid:commentId w16cid:paraId="1520323A" w16cid:durableId="27DEBB5E"/>
  <w16cid:commentId w16cid:paraId="3568DA33" w16cid:durableId="7E519E78"/>
  <w16cid:commentId w16cid:paraId="728FDE83" w16cid:durableId="033DAF2E"/>
  <w16cid:commentId w16cid:paraId="0F4A1B7D" w16cid:durableId="010D0BD1"/>
  <w16cid:commentId w16cid:paraId="73FC5F88" w16cid:durableId="65525519"/>
  <w16cid:commentId w16cid:paraId="77F1C175" w16cid:durableId="65651756"/>
  <w16cid:commentId w16cid:paraId="63FAB8B5" w16cid:durableId="0F2925BB"/>
  <w16cid:commentId w16cid:paraId="34C1D5EB" w16cid:durableId="0D3D9A27"/>
  <w16cid:commentId w16cid:paraId="0AFD1055" w16cid:durableId="58F24C97"/>
  <w16cid:commentId w16cid:paraId="440F19C3" w16cid:durableId="58B7BFB7"/>
  <w16cid:commentId w16cid:paraId="5E836A2F" w16cid:durableId="63C0D0F8"/>
  <w16cid:commentId w16cid:paraId="2C362A6B" w16cid:durableId="6A7E53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1D62" w14:textId="77777777" w:rsidR="00794455" w:rsidRDefault="00794455">
      <w:pPr>
        <w:spacing w:after="0" w:line="240" w:lineRule="auto"/>
      </w:pPr>
      <w:r>
        <w:separator/>
      </w:r>
    </w:p>
  </w:endnote>
  <w:endnote w:type="continuationSeparator" w:id="0">
    <w:p w14:paraId="4EADBB9B" w14:textId="77777777" w:rsidR="00794455" w:rsidRDefault="0079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18954"/>
      <w:docPartObj>
        <w:docPartGallery w:val="Page Numbers (Bottom of Page)"/>
        <w:docPartUnique/>
      </w:docPartObj>
    </w:sdtPr>
    <w:sdtEndPr>
      <w:rPr>
        <w:noProof/>
        <w:sz w:val="20"/>
        <w:szCs w:val="20"/>
      </w:rPr>
    </w:sdtEndPr>
    <w:sdtContent>
      <w:p w14:paraId="57764EB7" w14:textId="70D5D118" w:rsidR="00666519" w:rsidRPr="00666519" w:rsidRDefault="00666519">
        <w:pPr>
          <w:pStyle w:val="Footer"/>
          <w:jc w:val="center"/>
          <w:rPr>
            <w:sz w:val="20"/>
            <w:szCs w:val="20"/>
          </w:rPr>
        </w:pPr>
        <w:r w:rsidRPr="00666519">
          <w:rPr>
            <w:sz w:val="20"/>
            <w:szCs w:val="20"/>
          </w:rPr>
          <w:fldChar w:fldCharType="begin"/>
        </w:r>
        <w:r w:rsidRPr="00666519">
          <w:rPr>
            <w:sz w:val="20"/>
            <w:szCs w:val="20"/>
          </w:rPr>
          <w:instrText xml:space="preserve"> PAGE   \* MERGEFORMAT </w:instrText>
        </w:r>
        <w:r w:rsidRPr="00666519">
          <w:rPr>
            <w:sz w:val="20"/>
            <w:szCs w:val="20"/>
          </w:rPr>
          <w:fldChar w:fldCharType="separate"/>
        </w:r>
        <w:r w:rsidR="00794455">
          <w:rPr>
            <w:noProof/>
            <w:sz w:val="20"/>
            <w:szCs w:val="20"/>
          </w:rPr>
          <w:t>1</w:t>
        </w:r>
        <w:r w:rsidRPr="00666519">
          <w:rPr>
            <w:noProof/>
            <w:sz w:val="20"/>
            <w:szCs w:val="20"/>
          </w:rPr>
          <w:fldChar w:fldCharType="end"/>
        </w:r>
      </w:p>
    </w:sdtContent>
  </w:sdt>
  <w:p w14:paraId="2EA29A31" w14:textId="77777777" w:rsidR="00666519" w:rsidRDefault="0066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B2E64" w14:textId="77777777" w:rsidR="00794455" w:rsidRDefault="00794455">
      <w:pPr>
        <w:spacing w:after="0" w:line="240" w:lineRule="auto"/>
      </w:pPr>
      <w:r>
        <w:separator/>
      </w:r>
    </w:p>
  </w:footnote>
  <w:footnote w:type="continuationSeparator" w:id="0">
    <w:p w14:paraId="1AC2EB74" w14:textId="77777777" w:rsidR="00794455" w:rsidRDefault="00794455">
      <w:pPr>
        <w:spacing w:after="0" w:line="240" w:lineRule="auto"/>
      </w:pPr>
      <w:r>
        <w:continuationSeparator/>
      </w:r>
    </w:p>
  </w:footnote>
  <w:footnote w:id="1">
    <w:p w14:paraId="3DB50E3D" w14:textId="631850AE" w:rsidR="1CFDF2CF" w:rsidRPr="00AA016B" w:rsidRDefault="1CFDF2CF" w:rsidP="00AA016B">
      <w:pPr>
        <w:spacing w:after="0"/>
        <w:rPr>
          <w:rFonts w:ascii="Calibri" w:eastAsia="Calibri" w:hAnsi="Calibri" w:cs="Calibri"/>
          <w:sz w:val="16"/>
          <w:szCs w:val="16"/>
          <w:lang w:val="en-GB"/>
        </w:rPr>
      </w:pPr>
      <w:r w:rsidRPr="00AE6CAC">
        <w:rPr>
          <w:rStyle w:val="FootnoteReference"/>
          <w:sz w:val="16"/>
          <w:szCs w:val="16"/>
        </w:rPr>
        <w:footnoteRef/>
      </w:r>
      <w:r w:rsidR="6ABD13AE" w:rsidRPr="00AE6CAC">
        <w:rPr>
          <w:rFonts w:ascii="Calibri" w:eastAsia="Calibri" w:hAnsi="Calibri" w:cs="Calibri"/>
          <w:sz w:val="16"/>
          <w:szCs w:val="16"/>
          <w:lang w:val="en-GB"/>
        </w:rPr>
        <w:t xml:space="preserve"> </w:t>
      </w:r>
      <w:r w:rsidR="6ABD13AE" w:rsidRPr="00AA016B">
        <w:rPr>
          <w:rFonts w:ascii="Calibri" w:eastAsia="Calibri" w:hAnsi="Calibri" w:cs="Calibri"/>
          <w:sz w:val="16"/>
          <w:szCs w:val="16"/>
          <w:lang w:val="en-GB"/>
        </w:rPr>
        <w:t>UN Office on Drugs and Crime, Money Laundering and Globalization, www. unodc.org/unodc/en/money-laundering/globalization.html, 2011</w:t>
      </w:r>
    </w:p>
  </w:footnote>
  <w:footnote w:id="2">
    <w:p w14:paraId="59D67066" w14:textId="060866DB" w:rsidR="1CFDF2CF" w:rsidRPr="00AE6CAC" w:rsidRDefault="1CFDF2CF" w:rsidP="00AA016B">
      <w:pPr>
        <w:spacing w:after="0"/>
        <w:rPr>
          <w:sz w:val="16"/>
          <w:szCs w:val="16"/>
          <w:lang w:val="en-US"/>
        </w:rPr>
      </w:pPr>
      <w:r w:rsidRPr="00AA016B">
        <w:rPr>
          <w:rStyle w:val="FootnoteReference"/>
          <w:sz w:val="16"/>
          <w:szCs w:val="16"/>
        </w:rPr>
        <w:footnoteRef/>
      </w:r>
      <w:r w:rsidRPr="00AE6CAC">
        <w:rPr>
          <w:rFonts w:ascii="Calibri" w:eastAsia="Calibri" w:hAnsi="Calibri" w:cs="Calibri"/>
          <w:color w:val="333333"/>
          <w:sz w:val="16"/>
          <w:szCs w:val="16"/>
          <w:lang w:val="en-US"/>
        </w:rPr>
        <w:t xml:space="preserve">Article 12 (2) (c) of the UNCAC calls on states to </w:t>
      </w:r>
      <w:r w:rsidRPr="00AE6CAC">
        <w:rPr>
          <w:rFonts w:ascii="Calibri" w:eastAsia="Calibri" w:hAnsi="Calibri" w:cs="Calibri"/>
          <w:iCs/>
          <w:color w:val="333333"/>
          <w:sz w:val="16"/>
          <w:szCs w:val="16"/>
          <w:lang w:val="en-US"/>
        </w:rPr>
        <w:t>“Promot[e] transparency among private entities, including, where appropriate, measures regarding the identity of legal and natural persons involved in the establishment and management of corporate entities.”</w:t>
      </w:r>
    </w:p>
    <w:p w14:paraId="2E39FE74" w14:textId="3073A54E" w:rsidR="1CFDF2CF" w:rsidRPr="00AE6CAC" w:rsidRDefault="1CFDF2CF" w:rsidP="00AA016B">
      <w:pPr>
        <w:spacing w:after="0"/>
        <w:rPr>
          <w:sz w:val="16"/>
          <w:szCs w:val="16"/>
          <w:lang w:val="en-US"/>
        </w:rPr>
      </w:pPr>
      <w:r w:rsidRPr="00AE6CAC">
        <w:rPr>
          <w:rFonts w:ascii="Calibri" w:eastAsia="Calibri" w:hAnsi="Calibri" w:cs="Calibri"/>
          <w:color w:val="333333"/>
          <w:sz w:val="16"/>
          <w:szCs w:val="16"/>
          <w:lang w:val="en-US"/>
        </w:rPr>
        <w:t>Article 14 (1) (a) extends this requirement to include keeping a record of beneficial ownership information and applying these rules to service providers. Article 52 (1) states that government should require financial institutions to verify the beneficial ownership information for high-risk accounts, including PEPs and their close associates and family members and high-value accounts.</w:t>
      </w:r>
    </w:p>
  </w:footnote>
  <w:footnote w:id="3">
    <w:p w14:paraId="033CCD15" w14:textId="48108B13" w:rsidR="1CFDF2CF" w:rsidRPr="00AE6CAC" w:rsidRDefault="1CFDF2CF" w:rsidP="00AA016B">
      <w:pPr>
        <w:pStyle w:val="FootnoteText"/>
        <w:rPr>
          <w:sz w:val="16"/>
          <w:szCs w:val="16"/>
          <w:lang w:val="en-US"/>
        </w:rPr>
      </w:pPr>
      <w:r w:rsidRPr="00AA016B">
        <w:rPr>
          <w:rStyle w:val="FootnoteReference"/>
          <w:sz w:val="16"/>
          <w:szCs w:val="16"/>
        </w:rPr>
        <w:footnoteRef/>
      </w:r>
      <w:r w:rsidRPr="00AE6CAC">
        <w:rPr>
          <w:sz w:val="16"/>
          <w:szCs w:val="16"/>
          <w:lang w:val="en-US"/>
        </w:rPr>
        <w:t xml:space="preserve"> </w:t>
      </w:r>
      <w:r w:rsidR="6ABD13AE" w:rsidRPr="00AE6CAC">
        <w:rPr>
          <w:sz w:val="16"/>
          <w:szCs w:val="16"/>
          <w:lang w:val="en-US"/>
        </w:rPr>
        <w:t>G20, G20 High-Level Principles on Beneficial Ownership, 2014.https://g20.org/wp-content/uploads/2014/12/g20_high-level_principles_ beneficial_ownership_transparency.pdf</w:t>
      </w:r>
      <w:r w:rsidRPr="00AE6CAC">
        <w:rPr>
          <w:sz w:val="16"/>
          <w:szCs w:val="16"/>
          <w:lang w:val="en-US"/>
        </w:rPr>
        <w:t xml:space="preserve"> </w:t>
      </w:r>
    </w:p>
  </w:footnote>
  <w:footnote w:id="4">
    <w:p w14:paraId="6FEC12EE" w14:textId="112072F8" w:rsidR="1CFDF2CF" w:rsidRPr="00AE6CAC" w:rsidRDefault="1CFDF2CF" w:rsidP="00AA016B">
      <w:pPr>
        <w:pStyle w:val="FootnoteText"/>
        <w:rPr>
          <w:sz w:val="16"/>
          <w:szCs w:val="16"/>
          <w:lang w:val="en-US"/>
        </w:rPr>
      </w:pPr>
      <w:r w:rsidRPr="00AA016B">
        <w:rPr>
          <w:rStyle w:val="FootnoteReference"/>
          <w:sz w:val="16"/>
          <w:szCs w:val="16"/>
        </w:rPr>
        <w:footnoteRef/>
      </w:r>
      <w:r w:rsidR="6ABD13AE" w:rsidRPr="00AE6CAC">
        <w:rPr>
          <w:sz w:val="16"/>
          <w:szCs w:val="16"/>
          <w:lang w:val="en-US"/>
        </w:rPr>
        <w:t>. G8, G8 action plan principles to prevent the misuse of companies and legal arrangements, www.gov.uk/government/publications/g8-action-planprinciples-to-prevent-the-misuse-of-companies-and-legal-arrangements/ g8-action-plan-principles-to-prevent-the-misuse-of-companies-and-legalarrangements, 2013.</w:t>
      </w:r>
      <w:r w:rsidRPr="00AE6CAC">
        <w:rPr>
          <w:sz w:val="16"/>
          <w:szCs w:val="16"/>
          <w:lang w:val="en-US"/>
        </w:rPr>
        <w:t xml:space="preserve"> </w:t>
      </w:r>
    </w:p>
  </w:footnote>
  <w:footnote w:id="5">
    <w:p w14:paraId="7F716888" w14:textId="6D2B6780" w:rsidR="1CFDF2CF" w:rsidRPr="00AE6CAC" w:rsidRDefault="1CFDF2CF" w:rsidP="00AA016B">
      <w:pPr>
        <w:pStyle w:val="FootnoteText"/>
        <w:rPr>
          <w:lang w:val="en-US"/>
        </w:rPr>
      </w:pPr>
      <w:r w:rsidRPr="00AA016B">
        <w:rPr>
          <w:rStyle w:val="FootnoteReference"/>
          <w:sz w:val="16"/>
          <w:szCs w:val="16"/>
        </w:rPr>
        <w:footnoteRef/>
      </w:r>
      <w:r w:rsidR="6ABD13AE" w:rsidRPr="00AE6CAC">
        <w:rPr>
          <w:sz w:val="16"/>
          <w:szCs w:val="16"/>
          <w:lang w:val="en-US"/>
        </w:rPr>
        <w:t>TI UK, Was it worth it? Assessing Governments Promises at the 2016 Anti-Corruption Summit. https://www.transparency.org/whatwedo/ publication/7386</w:t>
      </w:r>
      <w:r w:rsidRPr="00AE6CAC">
        <w:rPr>
          <w:lang w:val="en-US"/>
        </w:rPr>
        <w:t xml:space="preserve"> </w:t>
      </w:r>
    </w:p>
  </w:footnote>
  <w:footnote w:id="6">
    <w:p w14:paraId="475294E4" w14:textId="1591C08F" w:rsidR="6ABD13AE" w:rsidRPr="00AE6CAC" w:rsidRDefault="6ABD13AE" w:rsidP="6ABD13AE">
      <w:pPr>
        <w:pStyle w:val="FootnoteText"/>
        <w:rPr>
          <w:sz w:val="16"/>
          <w:szCs w:val="16"/>
          <w:lang w:val="en-US"/>
        </w:rPr>
      </w:pPr>
      <w:r w:rsidRPr="00AA016B">
        <w:rPr>
          <w:rStyle w:val="FootnoteReference"/>
          <w:sz w:val="16"/>
          <w:szCs w:val="16"/>
        </w:rPr>
        <w:footnoteRef/>
      </w:r>
      <w:r w:rsidRPr="00AE6CAC">
        <w:rPr>
          <w:sz w:val="16"/>
          <w:szCs w:val="16"/>
          <w:lang w:val="en-US"/>
        </w:rPr>
        <w:t xml:space="preserve"> </w:t>
      </w:r>
      <w:r w:rsidR="4F56FBE5" w:rsidRPr="00AE6CAC">
        <w:rPr>
          <w:sz w:val="16"/>
          <w:szCs w:val="16"/>
          <w:lang w:val="en-US"/>
        </w:rPr>
        <w:t>https://www.opengovpartnership.org/wp-content/uploads/2019/05/Beneficial-Ownership-Fact-Sheet-May-2019.pdf</w:t>
      </w:r>
    </w:p>
  </w:footnote>
  <w:footnote w:id="7">
    <w:p w14:paraId="269FDE30" w14:textId="772C8DFC" w:rsidR="00F50966" w:rsidRPr="00F50966" w:rsidRDefault="00F50966">
      <w:pPr>
        <w:pStyle w:val="FootnoteText"/>
        <w:rPr>
          <w:sz w:val="16"/>
          <w:szCs w:val="16"/>
        </w:rPr>
      </w:pPr>
      <w:r w:rsidRPr="00F50966">
        <w:rPr>
          <w:rStyle w:val="FootnoteReference"/>
          <w:sz w:val="16"/>
          <w:szCs w:val="16"/>
        </w:rPr>
        <w:footnoteRef/>
      </w:r>
      <w:r w:rsidRPr="00F50966">
        <w:rPr>
          <w:sz w:val="16"/>
          <w:szCs w:val="16"/>
        </w:rPr>
        <w:t xml:space="preserve"> https://eur-lex.europa.eu/legal-content/EN/TXT/?u</w:t>
      </w:r>
      <w:r>
        <w:rPr>
          <w:sz w:val="16"/>
          <w:szCs w:val="16"/>
        </w:rPr>
        <w:t>ri=CELEX%3A32018L0843</w:t>
      </w:r>
    </w:p>
  </w:footnote>
  <w:footnote w:id="8">
    <w:p w14:paraId="45D9DC49" w14:textId="7CD13945" w:rsidR="6ABD13AE" w:rsidRPr="00316A10" w:rsidRDefault="6ABD13AE" w:rsidP="6ABD13AE">
      <w:pPr>
        <w:pStyle w:val="FootnoteText"/>
        <w:rPr>
          <w:sz w:val="16"/>
          <w:szCs w:val="16"/>
        </w:rPr>
      </w:pPr>
      <w:r w:rsidRPr="00316A10">
        <w:rPr>
          <w:rStyle w:val="FootnoteReference"/>
          <w:sz w:val="16"/>
          <w:szCs w:val="16"/>
        </w:rPr>
        <w:footnoteRef/>
      </w:r>
      <w:r w:rsidRPr="00AE6CAC">
        <w:rPr>
          <w:sz w:val="16"/>
          <w:szCs w:val="16"/>
          <w:lang w:val="en-US"/>
        </w:rPr>
        <w:t xml:space="preserve"> US Department of State, Plea Agreement, Odebrecht, www.justice.gov/ opa/press-release/file/919916/download. </w:t>
      </w:r>
      <w:r w:rsidRPr="00316A10">
        <w:rPr>
          <w:sz w:val="16"/>
          <w:szCs w:val="16"/>
        </w:rPr>
        <w:t>Estado de São Paulo, “Moro homologa acordo de leniência da Odebrecht” http://politica.estadao. com.br/blogs/fausto-macedo/moro-homologa-acordo-de-leniencia-daodebrecht/</w:t>
      </w:r>
    </w:p>
  </w:footnote>
  <w:footnote w:id="9">
    <w:p w14:paraId="548EA798" w14:textId="11045C43" w:rsidR="6ABD13AE" w:rsidRPr="00AE6CAC" w:rsidRDefault="6ABD13AE" w:rsidP="6ABD13AE">
      <w:pPr>
        <w:pStyle w:val="FootnoteText"/>
        <w:rPr>
          <w:sz w:val="16"/>
          <w:szCs w:val="16"/>
          <w:lang w:val="en-US"/>
        </w:rPr>
      </w:pPr>
      <w:r w:rsidRPr="00316A10">
        <w:rPr>
          <w:rStyle w:val="FootnoteReference"/>
          <w:sz w:val="16"/>
          <w:szCs w:val="16"/>
        </w:rPr>
        <w:footnoteRef/>
      </w:r>
      <w:r w:rsidRPr="00AE6CAC">
        <w:rPr>
          <w:sz w:val="16"/>
          <w:szCs w:val="16"/>
          <w:lang w:val="en-US"/>
        </w:rPr>
        <w:t xml:space="preserve"> </w:t>
      </w:r>
      <w:r w:rsidR="4F56FBE5" w:rsidRPr="00AE6CAC">
        <w:rPr>
          <w:sz w:val="16"/>
          <w:szCs w:val="16"/>
          <w:lang w:val="en-US"/>
        </w:rPr>
        <w:t>Ministerio Publico Federal.Denuncia David Muino Suarez. http://www.mpf. mp.br/pr/sala-de-imprensa/docs/denuncia-davidmuino; https://www.forbes.com/sites/kerenblankfeld/2016/04/04/ law-firm-at-center-of-panama-papers-leak-was-implicated-in-brazilcorruption-scandal-in-january/#297015185b3b</w:t>
      </w:r>
      <w:r w:rsidRPr="00AE6CAC">
        <w:rPr>
          <w:sz w:val="16"/>
          <w:szCs w:val="16"/>
          <w:lang w:val="en-US"/>
        </w:rPr>
        <w:t xml:space="preserve"> </w:t>
      </w:r>
    </w:p>
  </w:footnote>
  <w:footnote w:id="10">
    <w:p w14:paraId="31E7AD4E" w14:textId="49412BEB" w:rsidR="6ABD13AE" w:rsidRPr="00AE6CAC" w:rsidRDefault="6ABD13AE" w:rsidP="6ABD13AE">
      <w:pPr>
        <w:pStyle w:val="FootnoteText"/>
        <w:rPr>
          <w:sz w:val="16"/>
          <w:szCs w:val="16"/>
        </w:rPr>
      </w:pPr>
      <w:r w:rsidRPr="00316A10">
        <w:rPr>
          <w:rStyle w:val="FootnoteReference"/>
          <w:sz w:val="16"/>
          <w:szCs w:val="16"/>
        </w:rPr>
        <w:footnoteRef/>
      </w:r>
      <w:r w:rsidRPr="00AE6CAC">
        <w:rPr>
          <w:sz w:val="16"/>
          <w:szCs w:val="16"/>
          <w:lang w:val="en-US"/>
        </w:rPr>
        <w:t xml:space="preserve"> www.occrp.org/en/ azerbaijanilaundromat/, 2017</w:t>
      </w:r>
      <w:r w:rsidR="00612FC6">
        <w:rPr>
          <w:sz w:val="16"/>
          <w:szCs w:val="16"/>
          <w:lang w:val="en-US"/>
        </w:rPr>
        <w:t xml:space="preserve">; </w:t>
      </w:r>
      <w:r w:rsidR="00DC5609" w:rsidRPr="00DC5609">
        <w:rPr>
          <w:sz w:val="16"/>
          <w:szCs w:val="16"/>
        </w:rPr>
        <w:t>https://www.theguardian.com/world/2017/sep/04/uk-at-centre-of-secret-3bn-azerbaijani-money-laundering-and-lobbying-scheme</w:t>
      </w:r>
    </w:p>
  </w:footnote>
  <w:footnote w:id="11">
    <w:p w14:paraId="20CC7D38" w14:textId="5CA1BB83" w:rsidR="6ABD13AE" w:rsidRPr="00AE6CAC" w:rsidRDefault="6ABD13AE" w:rsidP="6ABD13AE">
      <w:pPr>
        <w:pStyle w:val="FootnoteText"/>
      </w:pPr>
      <w:r w:rsidRPr="00316A10">
        <w:rPr>
          <w:rStyle w:val="FootnoteReference"/>
          <w:sz w:val="16"/>
          <w:szCs w:val="16"/>
        </w:rPr>
        <w:footnoteRef/>
      </w:r>
      <w:r w:rsidRPr="00AE6CAC">
        <w:rPr>
          <w:sz w:val="16"/>
          <w:szCs w:val="16"/>
        </w:rPr>
        <w:t xml:space="preserve"> https://www.transparency.org/whatwedo/publication/g20_leaders_or_laggards</w:t>
      </w:r>
    </w:p>
  </w:footnote>
  <w:footnote w:id="12">
    <w:p w14:paraId="7E31178F" w14:textId="301AACCB" w:rsidR="442DEEF5" w:rsidRPr="00F50966" w:rsidRDefault="442DEEF5" w:rsidP="442DEEF5">
      <w:pPr>
        <w:pStyle w:val="FootnoteText"/>
        <w:rPr>
          <w:sz w:val="16"/>
          <w:szCs w:val="16"/>
          <w:lang w:val="en-US"/>
        </w:rPr>
      </w:pPr>
      <w:r w:rsidRPr="00F50966">
        <w:rPr>
          <w:rStyle w:val="FootnoteReference"/>
          <w:sz w:val="16"/>
          <w:szCs w:val="16"/>
        </w:rPr>
        <w:footnoteRef/>
      </w:r>
      <w:r w:rsidRPr="00F50966">
        <w:rPr>
          <w:sz w:val="16"/>
          <w:szCs w:val="16"/>
          <w:lang w:val="en-US"/>
        </w:rPr>
        <w:t xml:space="preserve"> Martini</w:t>
      </w:r>
      <w:r w:rsidRPr="00AE6CAC">
        <w:rPr>
          <w:sz w:val="16"/>
          <w:szCs w:val="16"/>
          <w:lang w:val="en-US"/>
        </w:rPr>
        <w:t xml:space="preserve">, M., 2019. Two Principles Open Government Partnership Needs to Embrace to End Corporate Secrecy. Voices for Transparency, Transparency International.  </w:t>
      </w:r>
      <w:hyperlink r:id="rId1">
        <w:r w:rsidRPr="00AE6CAC">
          <w:rPr>
            <w:sz w:val="16"/>
            <w:szCs w:val="16"/>
          </w:rPr>
          <w:t>https://voices.transparency.org/two-principles-open-government-partnership-needs-to-embrace-to-end-corporate-secrecy-e01ccf13bc83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0F0"/>
    <w:multiLevelType w:val="hybridMultilevel"/>
    <w:tmpl w:val="A846FE76"/>
    <w:lvl w:ilvl="0" w:tplc="7856FFA0">
      <w:start w:val="1"/>
      <w:numFmt w:val="bullet"/>
      <w:lvlText w:val=""/>
      <w:lvlJc w:val="left"/>
      <w:pPr>
        <w:ind w:left="720" w:hanging="360"/>
      </w:pPr>
      <w:rPr>
        <w:rFonts w:ascii="Symbol" w:hAnsi="Symbol" w:hint="default"/>
      </w:rPr>
    </w:lvl>
    <w:lvl w:ilvl="1" w:tplc="5546CB52">
      <w:start w:val="1"/>
      <w:numFmt w:val="bullet"/>
      <w:lvlText w:val="o"/>
      <w:lvlJc w:val="left"/>
      <w:pPr>
        <w:ind w:left="1440" w:hanging="360"/>
      </w:pPr>
      <w:rPr>
        <w:rFonts w:ascii="Courier New" w:hAnsi="Courier New" w:hint="default"/>
      </w:rPr>
    </w:lvl>
    <w:lvl w:ilvl="2" w:tplc="B8B22B5A">
      <w:start w:val="1"/>
      <w:numFmt w:val="bullet"/>
      <w:lvlText w:val=""/>
      <w:lvlJc w:val="left"/>
      <w:pPr>
        <w:ind w:left="2160" w:hanging="360"/>
      </w:pPr>
      <w:rPr>
        <w:rFonts w:ascii="Wingdings" w:hAnsi="Wingdings" w:hint="default"/>
      </w:rPr>
    </w:lvl>
    <w:lvl w:ilvl="3" w:tplc="886E589C">
      <w:start w:val="1"/>
      <w:numFmt w:val="bullet"/>
      <w:lvlText w:val=""/>
      <w:lvlJc w:val="left"/>
      <w:pPr>
        <w:ind w:left="2880" w:hanging="360"/>
      </w:pPr>
      <w:rPr>
        <w:rFonts w:ascii="Symbol" w:hAnsi="Symbol" w:hint="default"/>
      </w:rPr>
    </w:lvl>
    <w:lvl w:ilvl="4" w:tplc="C420B004">
      <w:start w:val="1"/>
      <w:numFmt w:val="bullet"/>
      <w:lvlText w:val="o"/>
      <w:lvlJc w:val="left"/>
      <w:pPr>
        <w:ind w:left="3600" w:hanging="360"/>
      </w:pPr>
      <w:rPr>
        <w:rFonts w:ascii="Courier New" w:hAnsi="Courier New" w:hint="default"/>
      </w:rPr>
    </w:lvl>
    <w:lvl w:ilvl="5" w:tplc="18EA4028">
      <w:start w:val="1"/>
      <w:numFmt w:val="bullet"/>
      <w:lvlText w:val=""/>
      <w:lvlJc w:val="left"/>
      <w:pPr>
        <w:ind w:left="4320" w:hanging="360"/>
      </w:pPr>
      <w:rPr>
        <w:rFonts w:ascii="Wingdings" w:hAnsi="Wingdings" w:hint="default"/>
      </w:rPr>
    </w:lvl>
    <w:lvl w:ilvl="6" w:tplc="C842160E">
      <w:start w:val="1"/>
      <w:numFmt w:val="bullet"/>
      <w:lvlText w:val=""/>
      <w:lvlJc w:val="left"/>
      <w:pPr>
        <w:ind w:left="5040" w:hanging="360"/>
      </w:pPr>
      <w:rPr>
        <w:rFonts w:ascii="Symbol" w:hAnsi="Symbol" w:hint="default"/>
      </w:rPr>
    </w:lvl>
    <w:lvl w:ilvl="7" w:tplc="63CE62A6">
      <w:start w:val="1"/>
      <w:numFmt w:val="bullet"/>
      <w:lvlText w:val="o"/>
      <w:lvlJc w:val="left"/>
      <w:pPr>
        <w:ind w:left="5760" w:hanging="360"/>
      </w:pPr>
      <w:rPr>
        <w:rFonts w:ascii="Courier New" w:hAnsi="Courier New" w:hint="default"/>
      </w:rPr>
    </w:lvl>
    <w:lvl w:ilvl="8" w:tplc="12AA4008">
      <w:start w:val="1"/>
      <w:numFmt w:val="bullet"/>
      <w:lvlText w:val=""/>
      <w:lvlJc w:val="left"/>
      <w:pPr>
        <w:ind w:left="6480" w:hanging="360"/>
      </w:pPr>
      <w:rPr>
        <w:rFonts w:ascii="Wingdings" w:hAnsi="Wingdings" w:hint="default"/>
      </w:rPr>
    </w:lvl>
  </w:abstractNum>
  <w:abstractNum w:abstractNumId="1" w15:restartNumberingAfterBreak="0">
    <w:nsid w:val="227D4DA2"/>
    <w:multiLevelType w:val="hybridMultilevel"/>
    <w:tmpl w:val="1EA2A7BC"/>
    <w:lvl w:ilvl="0" w:tplc="666A78E4">
      <w:start w:val="1"/>
      <w:numFmt w:val="bullet"/>
      <w:lvlText w:val=""/>
      <w:lvlJc w:val="left"/>
      <w:pPr>
        <w:ind w:left="720" w:hanging="360"/>
      </w:pPr>
      <w:rPr>
        <w:rFonts w:ascii="Symbol" w:hAnsi="Symbol" w:hint="default"/>
      </w:rPr>
    </w:lvl>
    <w:lvl w:ilvl="1" w:tplc="4746A82A">
      <w:start w:val="1"/>
      <w:numFmt w:val="bullet"/>
      <w:lvlText w:val="o"/>
      <w:lvlJc w:val="left"/>
      <w:pPr>
        <w:ind w:left="1440" w:hanging="360"/>
      </w:pPr>
      <w:rPr>
        <w:rFonts w:ascii="Courier New" w:hAnsi="Courier New" w:hint="default"/>
      </w:rPr>
    </w:lvl>
    <w:lvl w:ilvl="2" w:tplc="F464233A">
      <w:start w:val="1"/>
      <w:numFmt w:val="bullet"/>
      <w:lvlText w:val=""/>
      <w:lvlJc w:val="left"/>
      <w:pPr>
        <w:ind w:left="2160" w:hanging="360"/>
      </w:pPr>
      <w:rPr>
        <w:rFonts w:ascii="Wingdings" w:hAnsi="Wingdings" w:hint="default"/>
      </w:rPr>
    </w:lvl>
    <w:lvl w:ilvl="3" w:tplc="C47A2C90">
      <w:start w:val="1"/>
      <w:numFmt w:val="bullet"/>
      <w:lvlText w:val=""/>
      <w:lvlJc w:val="left"/>
      <w:pPr>
        <w:ind w:left="2880" w:hanging="360"/>
      </w:pPr>
      <w:rPr>
        <w:rFonts w:ascii="Symbol" w:hAnsi="Symbol" w:hint="default"/>
      </w:rPr>
    </w:lvl>
    <w:lvl w:ilvl="4" w:tplc="04929506">
      <w:start w:val="1"/>
      <w:numFmt w:val="bullet"/>
      <w:lvlText w:val="o"/>
      <w:lvlJc w:val="left"/>
      <w:pPr>
        <w:ind w:left="3600" w:hanging="360"/>
      </w:pPr>
      <w:rPr>
        <w:rFonts w:ascii="Courier New" w:hAnsi="Courier New" w:hint="default"/>
      </w:rPr>
    </w:lvl>
    <w:lvl w:ilvl="5" w:tplc="6CFA3800">
      <w:start w:val="1"/>
      <w:numFmt w:val="bullet"/>
      <w:lvlText w:val=""/>
      <w:lvlJc w:val="left"/>
      <w:pPr>
        <w:ind w:left="4320" w:hanging="360"/>
      </w:pPr>
      <w:rPr>
        <w:rFonts w:ascii="Wingdings" w:hAnsi="Wingdings" w:hint="default"/>
      </w:rPr>
    </w:lvl>
    <w:lvl w:ilvl="6" w:tplc="C584E2CC">
      <w:start w:val="1"/>
      <w:numFmt w:val="bullet"/>
      <w:lvlText w:val=""/>
      <w:lvlJc w:val="left"/>
      <w:pPr>
        <w:ind w:left="5040" w:hanging="360"/>
      </w:pPr>
      <w:rPr>
        <w:rFonts w:ascii="Symbol" w:hAnsi="Symbol" w:hint="default"/>
      </w:rPr>
    </w:lvl>
    <w:lvl w:ilvl="7" w:tplc="38127938">
      <w:start w:val="1"/>
      <w:numFmt w:val="bullet"/>
      <w:lvlText w:val="o"/>
      <w:lvlJc w:val="left"/>
      <w:pPr>
        <w:ind w:left="5760" w:hanging="360"/>
      </w:pPr>
      <w:rPr>
        <w:rFonts w:ascii="Courier New" w:hAnsi="Courier New" w:hint="default"/>
      </w:rPr>
    </w:lvl>
    <w:lvl w:ilvl="8" w:tplc="F16A0592">
      <w:start w:val="1"/>
      <w:numFmt w:val="bullet"/>
      <w:lvlText w:val=""/>
      <w:lvlJc w:val="left"/>
      <w:pPr>
        <w:ind w:left="6480" w:hanging="360"/>
      </w:pPr>
      <w:rPr>
        <w:rFonts w:ascii="Wingdings" w:hAnsi="Wingdings" w:hint="default"/>
      </w:rPr>
    </w:lvl>
  </w:abstractNum>
  <w:abstractNum w:abstractNumId="2" w15:restartNumberingAfterBreak="0">
    <w:nsid w:val="2C5E4CEE"/>
    <w:multiLevelType w:val="hybridMultilevel"/>
    <w:tmpl w:val="030C2F86"/>
    <w:lvl w:ilvl="0" w:tplc="B1000210">
      <w:start w:val="1"/>
      <w:numFmt w:val="bullet"/>
      <w:lvlText w:val=""/>
      <w:lvlJc w:val="left"/>
      <w:pPr>
        <w:ind w:left="720" w:hanging="360"/>
      </w:pPr>
      <w:rPr>
        <w:rFonts w:ascii="Symbol" w:hAnsi="Symbol" w:hint="default"/>
      </w:rPr>
    </w:lvl>
    <w:lvl w:ilvl="1" w:tplc="8F6A73B2">
      <w:start w:val="1"/>
      <w:numFmt w:val="bullet"/>
      <w:lvlText w:val="o"/>
      <w:lvlJc w:val="left"/>
      <w:pPr>
        <w:ind w:left="1440" w:hanging="360"/>
      </w:pPr>
      <w:rPr>
        <w:rFonts w:ascii="Courier New" w:hAnsi="Courier New" w:hint="default"/>
      </w:rPr>
    </w:lvl>
    <w:lvl w:ilvl="2" w:tplc="D58E2A66">
      <w:start w:val="1"/>
      <w:numFmt w:val="bullet"/>
      <w:lvlText w:val=""/>
      <w:lvlJc w:val="left"/>
      <w:pPr>
        <w:ind w:left="2160" w:hanging="360"/>
      </w:pPr>
      <w:rPr>
        <w:rFonts w:ascii="Wingdings" w:hAnsi="Wingdings" w:hint="default"/>
      </w:rPr>
    </w:lvl>
    <w:lvl w:ilvl="3" w:tplc="0A7ECA8E">
      <w:start w:val="1"/>
      <w:numFmt w:val="bullet"/>
      <w:lvlText w:val=""/>
      <w:lvlJc w:val="left"/>
      <w:pPr>
        <w:ind w:left="2880" w:hanging="360"/>
      </w:pPr>
      <w:rPr>
        <w:rFonts w:ascii="Symbol" w:hAnsi="Symbol" w:hint="default"/>
      </w:rPr>
    </w:lvl>
    <w:lvl w:ilvl="4" w:tplc="44EA44CE">
      <w:start w:val="1"/>
      <w:numFmt w:val="bullet"/>
      <w:lvlText w:val="o"/>
      <w:lvlJc w:val="left"/>
      <w:pPr>
        <w:ind w:left="3600" w:hanging="360"/>
      </w:pPr>
      <w:rPr>
        <w:rFonts w:ascii="Courier New" w:hAnsi="Courier New" w:hint="default"/>
      </w:rPr>
    </w:lvl>
    <w:lvl w:ilvl="5" w:tplc="14660E10">
      <w:start w:val="1"/>
      <w:numFmt w:val="bullet"/>
      <w:lvlText w:val=""/>
      <w:lvlJc w:val="left"/>
      <w:pPr>
        <w:ind w:left="4320" w:hanging="360"/>
      </w:pPr>
      <w:rPr>
        <w:rFonts w:ascii="Wingdings" w:hAnsi="Wingdings" w:hint="default"/>
      </w:rPr>
    </w:lvl>
    <w:lvl w:ilvl="6" w:tplc="01A09504">
      <w:start w:val="1"/>
      <w:numFmt w:val="bullet"/>
      <w:lvlText w:val=""/>
      <w:lvlJc w:val="left"/>
      <w:pPr>
        <w:ind w:left="5040" w:hanging="360"/>
      </w:pPr>
      <w:rPr>
        <w:rFonts w:ascii="Symbol" w:hAnsi="Symbol" w:hint="default"/>
      </w:rPr>
    </w:lvl>
    <w:lvl w:ilvl="7" w:tplc="58AEA732">
      <w:start w:val="1"/>
      <w:numFmt w:val="bullet"/>
      <w:lvlText w:val="o"/>
      <w:lvlJc w:val="left"/>
      <w:pPr>
        <w:ind w:left="5760" w:hanging="360"/>
      </w:pPr>
      <w:rPr>
        <w:rFonts w:ascii="Courier New" w:hAnsi="Courier New" w:hint="default"/>
      </w:rPr>
    </w:lvl>
    <w:lvl w:ilvl="8" w:tplc="C300666C">
      <w:start w:val="1"/>
      <w:numFmt w:val="bullet"/>
      <w:lvlText w:val=""/>
      <w:lvlJc w:val="left"/>
      <w:pPr>
        <w:ind w:left="6480" w:hanging="360"/>
      </w:pPr>
      <w:rPr>
        <w:rFonts w:ascii="Wingdings" w:hAnsi="Wingdings" w:hint="default"/>
      </w:rPr>
    </w:lvl>
  </w:abstractNum>
  <w:abstractNum w:abstractNumId="3" w15:restartNumberingAfterBreak="0">
    <w:nsid w:val="537459D3"/>
    <w:multiLevelType w:val="hybridMultilevel"/>
    <w:tmpl w:val="593A5722"/>
    <w:lvl w:ilvl="0" w:tplc="1E04F0AA">
      <w:start w:val="1"/>
      <w:numFmt w:val="bullet"/>
      <w:lvlText w:val=""/>
      <w:lvlJc w:val="left"/>
      <w:pPr>
        <w:ind w:left="720" w:hanging="360"/>
      </w:pPr>
      <w:rPr>
        <w:rFonts w:ascii="Symbol" w:hAnsi="Symbol" w:hint="default"/>
      </w:rPr>
    </w:lvl>
    <w:lvl w:ilvl="1" w:tplc="38FA1660">
      <w:start w:val="1"/>
      <w:numFmt w:val="bullet"/>
      <w:lvlText w:val="o"/>
      <w:lvlJc w:val="left"/>
      <w:pPr>
        <w:ind w:left="1440" w:hanging="360"/>
      </w:pPr>
      <w:rPr>
        <w:rFonts w:ascii="Courier New" w:hAnsi="Courier New" w:hint="default"/>
      </w:rPr>
    </w:lvl>
    <w:lvl w:ilvl="2" w:tplc="DD56BB10">
      <w:start w:val="1"/>
      <w:numFmt w:val="bullet"/>
      <w:lvlText w:val=""/>
      <w:lvlJc w:val="left"/>
      <w:pPr>
        <w:ind w:left="2160" w:hanging="360"/>
      </w:pPr>
      <w:rPr>
        <w:rFonts w:ascii="Wingdings" w:hAnsi="Wingdings" w:hint="default"/>
      </w:rPr>
    </w:lvl>
    <w:lvl w:ilvl="3" w:tplc="D21E6738">
      <w:start w:val="1"/>
      <w:numFmt w:val="bullet"/>
      <w:lvlText w:val=""/>
      <w:lvlJc w:val="left"/>
      <w:pPr>
        <w:ind w:left="2880" w:hanging="360"/>
      </w:pPr>
      <w:rPr>
        <w:rFonts w:ascii="Symbol" w:hAnsi="Symbol" w:hint="default"/>
      </w:rPr>
    </w:lvl>
    <w:lvl w:ilvl="4" w:tplc="42981100">
      <w:start w:val="1"/>
      <w:numFmt w:val="bullet"/>
      <w:lvlText w:val="o"/>
      <w:lvlJc w:val="left"/>
      <w:pPr>
        <w:ind w:left="3600" w:hanging="360"/>
      </w:pPr>
      <w:rPr>
        <w:rFonts w:ascii="Courier New" w:hAnsi="Courier New" w:hint="default"/>
      </w:rPr>
    </w:lvl>
    <w:lvl w:ilvl="5" w:tplc="967C818E">
      <w:start w:val="1"/>
      <w:numFmt w:val="bullet"/>
      <w:lvlText w:val=""/>
      <w:lvlJc w:val="left"/>
      <w:pPr>
        <w:ind w:left="4320" w:hanging="360"/>
      </w:pPr>
      <w:rPr>
        <w:rFonts w:ascii="Wingdings" w:hAnsi="Wingdings" w:hint="default"/>
      </w:rPr>
    </w:lvl>
    <w:lvl w:ilvl="6" w:tplc="B87CFE8E">
      <w:start w:val="1"/>
      <w:numFmt w:val="bullet"/>
      <w:lvlText w:val=""/>
      <w:lvlJc w:val="left"/>
      <w:pPr>
        <w:ind w:left="5040" w:hanging="360"/>
      </w:pPr>
      <w:rPr>
        <w:rFonts w:ascii="Symbol" w:hAnsi="Symbol" w:hint="default"/>
      </w:rPr>
    </w:lvl>
    <w:lvl w:ilvl="7" w:tplc="4A76F1FC">
      <w:start w:val="1"/>
      <w:numFmt w:val="bullet"/>
      <w:lvlText w:val="o"/>
      <w:lvlJc w:val="left"/>
      <w:pPr>
        <w:ind w:left="5760" w:hanging="360"/>
      </w:pPr>
      <w:rPr>
        <w:rFonts w:ascii="Courier New" w:hAnsi="Courier New" w:hint="default"/>
      </w:rPr>
    </w:lvl>
    <w:lvl w:ilvl="8" w:tplc="0CEAF0C2">
      <w:start w:val="1"/>
      <w:numFmt w:val="bullet"/>
      <w:lvlText w:val=""/>
      <w:lvlJc w:val="left"/>
      <w:pPr>
        <w:ind w:left="6480" w:hanging="360"/>
      </w:pPr>
      <w:rPr>
        <w:rFonts w:ascii="Wingdings" w:hAnsi="Wingdings" w:hint="default"/>
      </w:rPr>
    </w:lvl>
  </w:abstractNum>
  <w:abstractNum w:abstractNumId="4" w15:restartNumberingAfterBreak="0">
    <w:nsid w:val="5F6568F6"/>
    <w:multiLevelType w:val="hybridMultilevel"/>
    <w:tmpl w:val="CD5868B0"/>
    <w:lvl w:ilvl="0" w:tplc="BB9E4D42">
      <w:start w:val="1"/>
      <w:numFmt w:val="bullet"/>
      <w:lvlText w:val=""/>
      <w:lvlJc w:val="left"/>
      <w:pPr>
        <w:ind w:left="720" w:hanging="360"/>
      </w:pPr>
      <w:rPr>
        <w:rFonts w:ascii="Symbol" w:hAnsi="Symbol" w:hint="default"/>
      </w:rPr>
    </w:lvl>
    <w:lvl w:ilvl="1" w:tplc="602259CC">
      <w:start w:val="1"/>
      <w:numFmt w:val="bullet"/>
      <w:lvlText w:val="o"/>
      <w:lvlJc w:val="left"/>
      <w:pPr>
        <w:ind w:left="1440" w:hanging="360"/>
      </w:pPr>
      <w:rPr>
        <w:rFonts w:ascii="Courier New" w:hAnsi="Courier New" w:hint="default"/>
      </w:rPr>
    </w:lvl>
    <w:lvl w:ilvl="2" w:tplc="6B88C570">
      <w:start w:val="1"/>
      <w:numFmt w:val="bullet"/>
      <w:lvlText w:val=""/>
      <w:lvlJc w:val="left"/>
      <w:pPr>
        <w:ind w:left="2160" w:hanging="360"/>
      </w:pPr>
      <w:rPr>
        <w:rFonts w:ascii="Wingdings" w:hAnsi="Wingdings" w:hint="default"/>
      </w:rPr>
    </w:lvl>
    <w:lvl w:ilvl="3" w:tplc="F80EC9E2">
      <w:start w:val="1"/>
      <w:numFmt w:val="bullet"/>
      <w:lvlText w:val=""/>
      <w:lvlJc w:val="left"/>
      <w:pPr>
        <w:ind w:left="2880" w:hanging="360"/>
      </w:pPr>
      <w:rPr>
        <w:rFonts w:ascii="Symbol" w:hAnsi="Symbol" w:hint="default"/>
      </w:rPr>
    </w:lvl>
    <w:lvl w:ilvl="4" w:tplc="96908558">
      <w:start w:val="1"/>
      <w:numFmt w:val="bullet"/>
      <w:lvlText w:val="o"/>
      <w:lvlJc w:val="left"/>
      <w:pPr>
        <w:ind w:left="3600" w:hanging="360"/>
      </w:pPr>
      <w:rPr>
        <w:rFonts w:ascii="Courier New" w:hAnsi="Courier New" w:hint="default"/>
      </w:rPr>
    </w:lvl>
    <w:lvl w:ilvl="5" w:tplc="FDBE13AE">
      <w:start w:val="1"/>
      <w:numFmt w:val="bullet"/>
      <w:lvlText w:val=""/>
      <w:lvlJc w:val="left"/>
      <w:pPr>
        <w:ind w:left="4320" w:hanging="360"/>
      </w:pPr>
      <w:rPr>
        <w:rFonts w:ascii="Wingdings" w:hAnsi="Wingdings" w:hint="default"/>
      </w:rPr>
    </w:lvl>
    <w:lvl w:ilvl="6" w:tplc="41F0151E">
      <w:start w:val="1"/>
      <w:numFmt w:val="bullet"/>
      <w:lvlText w:val=""/>
      <w:lvlJc w:val="left"/>
      <w:pPr>
        <w:ind w:left="5040" w:hanging="360"/>
      </w:pPr>
      <w:rPr>
        <w:rFonts w:ascii="Symbol" w:hAnsi="Symbol" w:hint="default"/>
      </w:rPr>
    </w:lvl>
    <w:lvl w:ilvl="7" w:tplc="82CEA6E8">
      <w:start w:val="1"/>
      <w:numFmt w:val="bullet"/>
      <w:lvlText w:val="o"/>
      <w:lvlJc w:val="left"/>
      <w:pPr>
        <w:ind w:left="5760" w:hanging="360"/>
      </w:pPr>
      <w:rPr>
        <w:rFonts w:ascii="Courier New" w:hAnsi="Courier New" w:hint="default"/>
      </w:rPr>
    </w:lvl>
    <w:lvl w:ilvl="8" w:tplc="AC2A7330">
      <w:start w:val="1"/>
      <w:numFmt w:val="bullet"/>
      <w:lvlText w:val=""/>
      <w:lvlJc w:val="left"/>
      <w:pPr>
        <w:ind w:left="6480" w:hanging="360"/>
      </w:pPr>
      <w:rPr>
        <w:rFonts w:ascii="Wingdings" w:hAnsi="Wingdings" w:hint="default"/>
      </w:rPr>
    </w:lvl>
  </w:abstractNum>
  <w:abstractNum w:abstractNumId="5" w15:restartNumberingAfterBreak="0">
    <w:nsid w:val="6B043CD8"/>
    <w:multiLevelType w:val="hybridMultilevel"/>
    <w:tmpl w:val="968E488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6D9950B1"/>
    <w:multiLevelType w:val="hybridMultilevel"/>
    <w:tmpl w:val="CCBE2448"/>
    <w:lvl w:ilvl="0" w:tplc="2184184A">
      <w:start w:val="1"/>
      <w:numFmt w:val="bullet"/>
      <w:lvlText w:val=""/>
      <w:lvlJc w:val="left"/>
      <w:pPr>
        <w:ind w:left="720" w:hanging="360"/>
      </w:pPr>
      <w:rPr>
        <w:rFonts w:ascii="Symbol" w:hAnsi="Symbol" w:hint="default"/>
      </w:rPr>
    </w:lvl>
    <w:lvl w:ilvl="1" w:tplc="13A6227E">
      <w:start w:val="1"/>
      <w:numFmt w:val="bullet"/>
      <w:lvlText w:val="o"/>
      <w:lvlJc w:val="left"/>
      <w:pPr>
        <w:ind w:left="1440" w:hanging="360"/>
      </w:pPr>
      <w:rPr>
        <w:rFonts w:ascii="Courier New" w:hAnsi="Courier New" w:hint="default"/>
      </w:rPr>
    </w:lvl>
    <w:lvl w:ilvl="2" w:tplc="C522312A">
      <w:start w:val="1"/>
      <w:numFmt w:val="bullet"/>
      <w:lvlText w:val=""/>
      <w:lvlJc w:val="left"/>
      <w:pPr>
        <w:ind w:left="2160" w:hanging="360"/>
      </w:pPr>
      <w:rPr>
        <w:rFonts w:ascii="Wingdings" w:hAnsi="Wingdings" w:hint="default"/>
      </w:rPr>
    </w:lvl>
    <w:lvl w:ilvl="3" w:tplc="7BD2993C">
      <w:start w:val="1"/>
      <w:numFmt w:val="bullet"/>
      <w:lvlText w:val=""/>
      <w:lvlJc w:val="left"/>
      <w:pPr>
        <w:ind w:left="2880" w:hanging="360"/>
      </w:pPr>
      <w:rPr>
        <w:rFonts w:ascii="Symbol" w:hAnsi="Symbol" w:hint="default"/>
      </w:rPr>
    </w:lvl>
    <w:lvl w:ilvl="4" w:tplc="24F2B7AC">
      <w:start w:val="1"/>
      <w:numFmt w:val="bullet"/>
      <w:lvlText w:val="o"/>
      <w:lvlJc w:val="left"/>
      <w:pPr>
        <w:ind w:left="3600" w:hanging="360"/>
      </w:pPr>
      <w:rPr>
        <w:rFonts w:ascii="Courier New" w:hAnsi="Courier New" w:hint="default"/>
      </w:rPr>
    </w:lvl>
    <w:lvl w:ilvl="5" w:tplc="D764B31E">
      <w:start w:val="1"/>
      <w:numFmt w:val="bullet"/>
      <w:lvlText w:val=""/>
      <w:lvlJc w:val="left"/>
      <w:pPr>
        <w:ind w:left="4320" w:hanging="360"/>
      </w:pPr>
      <w:rPr>
        <w:rFonts w:ascii="Wingdings" w:hAnsi="Wingdings" w:hint="default"/>
      </w:rPr>
    </w:lvl>
    <w:lvl w:ilvl="6" w:tplc="2AD6986C">
      <w:start w:val="1"/>
      <w:numFmt w:val="bullet"/>
      <w:lvlText w:val=""/>
      <w:lvlJc w:val="left"/>
      <w:pPr>
        <w:ind w:left="5040" w:hanging="360"/>
      </w:pPr>
      <w:rPr>
        <w:rFonts w:ascii="Symbol" w:hAnsi="Symbol" w:hint="default"/>
      </w:rPr>
    </w:lvl>
    <w:lvl w:ilvl="7" w:tplc="F0E635F0">
      <w:start w:val="1"/>
      <w:numFmt w:val="bullet"/>
      <w:lvlText w:val="o"/>
      <w:lvlJc w:val="left"/>
      <w:pPr>
        <w:ind w:left="5760" w:hanging="360"/>
      </w:pPr>
      <w:rPr>
        <w:rFonts w:ascii="Courier New" w:hAnsi="Courier New" w:hint="default"/>
      </w:rPr>
    </w:lvl>
    <w:lvl w:ilvl="8" w:tplc="9EB27AC4">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1DDB59"/>
    <w:rsid w:val="00033A01"/>
    <w:rsid w:val="00187AE0"/>
    <w:rsid w:val="001C7D8E"/>
    <w:rsid w:val="00316A10"/>
    <w:rsid w:val="00481E5C"/>
    <w:rsid w:val="00612FC6"/>
    <w:rsid w:val="00666519"/>
    <w:rsid w:val="007553D3"/>
    <w:rsid w:val="00775E8A"/>
    <w:rsid w:val="00794455"/>
    <w:rsid w:val="00890A4B"/>
    <w:rsid w:val="009D42E2"/>
    <w:rsid w:val="009E5A80"/>
    <w:rsid w:val="00A03D88"/>
    <w:rsid w:val="00AA016B"/>
    <w:rsid w:val="00AE6CAC"/>
    <w:rsid w:val="00BC57AF"/>
    <w:rsid w:val="00BE0D60"/>
    <w:rsid w:val="00DC5609"/>
    <w:rsid w:val="00E12666"/>
    <w:rsid w:val="00F50966"/>
    <w:rsid w:val="00F93FF3"/>
    <w:rsid w:val="0E3BA2F5"/>
    <w:rsid w:val="0EA33650"/>
    <w:rsid w:val="0F9EC418"/>
    <w:rsid w:val="111F72F1"/>
    <w:rsid w:val="1217D452"/>
    <w:rsid w:val="17A0E46F"/>
    <w:rsid w:val="18372FBF"/>
    <w:rsid w:val="18672D98"/>
    <w:rsid w:val="1C687937"/>
    <w:rsid w:val="1CFDF2CF"/>
    <w:rsid w:val="1D5AAFB1"/>
    <w:rsid w:val="229E5409"/>
    <w:rsid w:val="24D23527"/>
    <w:rsid w:val="25A01DE1"/>
    <w:rsid w:val="299908CB"/>
    <w:rsid w:val="2ED88C2F"/>
    <w:rsid w:val="343513A6"/>
    <w:rsid w:val="34F0835B"/>
    <w:rsid w:val="35402BEE"/>
    <w:rsid w:val="380EC716"/>
    <w:rsid w:val="3A778DBC"/>
    <w:rsid w:val="3BC5C425"/>
    <w:rsid w:val="3BEA93C5"/>
    <w:rsid w:val="3F93E572"/>
    <w:rsid w:val="411DDB59"/>
    <w:rsid w:val="414B20A8"/>
    <w:rsid w:val="433A5114"/>
    <w:rsid w:val="4384A89C"/>
    <w:rsid w:val="43C73E96"/>
    <w:rsid w:val="442DEEF5"/>
    <w:rsid w:val="45341E04"/>
    <w:rsid w:val="45639BE8"/>
    <w:rsid w:val="45FC5884"/>
    <w:rsid w:val="488E6641"/>
    <w:rsid w:val="48C3AEA2"/>
    <w:rsid w:val="4A25ADAB"/>
    <w:rsid w:val="4C806CD3"/>
    <w:rsid w:val="4D0E8D8C"/>
    <w:rsid w:val="4F56FBE5"/>
    <w:rsid w:val="5136A761"/>
    <w:rsid w:val="51A946D6"/>
    <w:rsid w:val="5378DD81"/>
    <w:rsid w:val="5594E741"/>
    <w:rsid w:val="5890DCB3"/>
    <w:rsid w:val="5AD4F86B"/>
    <w:rsid w:val="5AEDAC6A"/>
    <w:rsid w:val="5BCE4F86"/>
    <w:rsid w:val="5D90FDBD"/>
    <w:rsid w:val="611B277B"/>
    <w:rsid w:val="62F5E9EC"/>
    <w:rsid w:val="6440435B"/>
    <w:rsid w:val="66D345A2"/>
    <w:rsid w:val="6955867E"/>
    <w:rsid w:val="6ABD13AE"/>
    <w:rsid w:val="6B68E5A9"/>
    <w:rsid w:val="6BE0A3A9"/>
    <w:rsid w:val="6BE772C5"/>
    <w:rsid w:val="732945AC"/>
    <w:rsid w:val="74481798"/>
    <w:rsid w:val="76078551"/>
    <w:rsid w:val="76898275"/>
    <w:rsid w:val="780515F5"/>
    <w:rsid w:val="787F9FCF"/>
    <w:rsid w:val="7BA007E3"/>
    <w:rsid w:val="7BC13B0D"/>
    <w:rsid w:val="7D009265"/>
    <w:rsid w:val="7E61A7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2E11"/>
  <w15:chartTrackingRefBased/>
  <w15:docId w15:val="{5A40EEB8-385E-4645-9D3A-E3440A08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6A10"/>
    <w:rPr>
      <w:b/>
      <w:bCs/>
    </w:rPr>
  </w:style>
  <w:style w:type="character" w:customStyle="1" w:styleId="CommentSubjectChar">
    <w:name w:val="Comment Subject Char"/>
    <w:basedOn w:val="CommentTextChar"/>
    <w:link w:val="CommentSubject"/>
    <w:uiPriority w:val="99"/>
    <w:semiHidden/>
    <w:rsid w:val="00316A10"/>
    <w:rPr>
      <w:b/>
      <w:bCs/>
      <w:sz w:val="20"/>
      <w:szCs w:val="20"/>
    </w:rPr>
  </w:style>
  <w:style w:type="character" w:customStyle="1" w:styleId="normaltextrun">
    <w:name w:val="normaltextrun"/>
    <w:basedOn w:val="DefaultParagraphFont"/>
    <w:rsid w:val="00F50966"/>
  </w:style>
  <w:style w:type="paragraph" w:styleId="Header">
    <w:name w:val="header"/>
    <w:basedOn w:val="Normal"/>
    <w:link w:val="HeaderChar"/>
    <w:uiPriority w:val="99"/>
    <w:unhideWhenUsed/>
    <w:rsid w:val="00666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19"/>
  </w:style>
  <w:style w:type="paragraph" w:styleId="Footer">
    <w:name w:val="footer"/>
    <w:basedOn w:val="Normal"/>
    <w:link w:val="FooterChar"/>
    <w:uiPriority w:val="99"/>
    <w:unhideWhenUsed/>
    <w:rsid w:val="00666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8L08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c3fe134daaf5483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ansparency.org/whatwedo/publication/g20_leaders_or_laggar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oices.transparency.org/two-principles-open-government-partnership-needs-to-embrace-to-end-corporate-secrecy-e01ccf13bc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15B5-AB04-4072-80B6-EB72B926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1312</Words>
  <Characters>7654</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Martini</dc:creator>
  <cp:keywords/>
  <dc:description/>
  <cp:lastModifiedBy>Gillian Dell</cp:lastModifiedBy>
  <cp:revision>4</cp:revision>
  <dcterms:created xsi:type="dcterms:W3CDTF">2019-08-22T09:17:00Z</dcterms:created>
  <dcterms:modified xsi:type="dcterms:W3CDTF">2019-08-23T12:34:00Z</dcterms:modified>
</cp:coreProperties>
</file>