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bCs/>
          <w:sz w:val="28"/>
          <w:szCs w:val="28"/>
        </w:rPr>
        <w:alias w:val="Title"/>
        <w:tag w:val=""/>
        <w:id w:val="-887490816"/>
        <w:placeholder>
          <w:docPart w:val="42085621834B7D43979B74154BC49213"/>
        </w:placeholder>
        <w:dataBinding w:prefixMappings="xmlns:ns0='http://purl.org/dc/elements/1.1/' xmlns:ns1='http://schemas.openxmlformats.org/package/2006/metadata/core-properties' " w:xpath="/ns1:coreProperties[1]/ns0:title[1]" w:storeItemID="{6C3C8BC8-F283-45AE-878A-BAB7291924A1}"/>
        <w:text/>
      </w:sdtPr>
      <w:sdtContent>
        <w:p w14:paraId="4F8837DC" w14:textId="6593D9C8" w:rsidR="0024649C" w:rsidRPr="00FD0845" w:rsidRDefault="00BC2368" w:rsidP="00BC2368">
          <w:pPr>
            <w:pStyle w:val="Title"/>
            <w:spacing w:after="0"/>
            <w:jc w:val="center"/>
            <w:rPr>
              <w:b/>
              <w:bCs/>
              <w:sz w:val="28"/>
              <w:szCs w:val="28"/>
            </w:rPr>
          </w:pPr>
          <w:r w:rsidRPr="00FD0845">
            <w:rPr>
              <w:b/>
              <w:bCs/>
              <w:sz w:val="28"/>
              <w:szCs w:val="28"/>
            </w:rPr>
            <w:t>Advancing Resolution 10/10 by Addressing Sexual Corruption: Understanding and Enforcement</w:t>
          </w:r>
        </w:p>
      </w:sdtContent>
    </w:sdt>
    <w:p w14:paraId="072F4047" w14:textId="77777777" w:rsidR="00BC2368" w:rsidRDefault="00BC2368" w:rsidP="00BC2368">
      <w:pPr>
        <w:pStyle w:val="Subtitle"/>
        <w:spacing w:before="0" w:after="0"/>
        <w:jc w:val="center"/>
        <w:rPr>
          <w:lang w:val="en-US"/>
        </w:rPr>
      </w:pPr>
    </w:p>
    <w:p w14:paraId="29D5EC5B" w14:textId="77D3CCC2" w:rsidR="00BC2368" w:rsidRDefault="00BC2368" w:rsidP="00041907">
      <w:pPr>
        <w:pStyle w:val="Subtitle"/>
        <w:spacing w:before="0" w:after="0"/>
        <w:jc w:val="center"/>
        <w:rPr>
          <w:lang w:val="en-US"/>
        </w:rPr>
      </w:pPr>
      <w:r w:rsidRPr="00BC2368">
        <w:rPr>
          <w:lang w:val="en-US"/>
        </w:rPr>
        <w:t xml:space="preserve">Submission by the </w:t>
      </w:r>
      <w:r w:rsidR="0031306E" w:rsidRPr="0031306E">
        <w:t xml:space="preserve">Global Civil Society Coalition for the UNCAC’s </w:t>
      </w:r>
      <w:r w:rsidRPr="00BC2368">
        <w:rPr>
          <w:lang w:val="en-US"/>
        </w:rPr>
        <w:t>Working Group on Gender, Inclusion, and Corruption</w:t>
      </w:r>
      <w:r w:rsidRPr="00BC2368">
        <w:rPr>
          <w:vertAlign w:val="superscript"/>
          <w:lang w:val="en-US"/>
        </w:rPr>
        <w:footnoteReference w:id="1"/>
      </w:r>
    </w:p>
    <w:p w14:paraId="39A302F8" w14:textId="77777777" w:rsidR="00041907" w:rsidRPr="00041907" w:rsidRDefault="00041907" w:rsidP="00041907">
      <w:pPr>
        <w:spacing w:after="0"/>
        <w:rPr>
          <w:lang w:val="en-US"/>
        </w:rPr>
      </w:pPr>
    </w:p>
    <w:p w14:paraId="37D3C9C4" w14:textId="233139C8" w:rsidR="008D52FF" w:rsidRPr="00FD0845" w:rsidRDefault="0064600C" w:rsidP="00BC2368">
      <w:pPr>
        <w:pStyle w:val="Subtitle"/>
        <w:spacing w:before="0" w:after="0"/>
        <w:jc w:val="center"/>
        <w:rPr>
          <w:b/>
          <w:bCs/>
          <w:sz w:val="26"/>
          <w:szCs w:val="26"/>
        </w:rPr>
      </w:pPr>
      <w:r w:rsidRPr="00FD0845">
        <w:rPr>
          <w:b/>
          <w:bCs/>
          <w:sz w:val="26"/>
          <w:szCs w:val="26"/>
        </w:rPr>
        <w:t>1</w:t>
      </w:r>
      <w:r w:rsidR="00BC2368" w:rsidRPr="00FD0845">
        <w:rPr>
          <w:b/>
          <w:bCs/>
          <w:sz w:val="26"/>
          <w:szCs w:val="26"/>
        </w:rPr>
        <w:t>9</w:t>
      </w:r>
      <w:r w:rsidR="008D52FF" w:rsidRPr="00FD0845">
        <w:rPr>
          <w:b/>
          <w:bCs/>
          <w:sz w:val="26"/>
          <w:szCs w:val="26"/>
        </w:rPr>
        <w:t xml:space="preserve"> </w:t>
      </w:r>
      <w:r w:rsidRPr="00FD0845">
        <w:rPr>
          <w:b/>
          <w:bCs/>
          <w:sz w:val="26"/>
          <w:szCs w:val="26"/>
        </w:rPr>
        <w:t>Nov</w:t>
      </w:r>
      <w:r w:rsidR="008D52FF" w:rsidRPr="00FD0845">
        <w:rPr>
          <w:b/>
          <w:bCs/>
          <w:sz w:val="26"/>
          <w:szCs w:val="26"/>
        </w:rPr>
        <w:t>ember 2025</w:t>
      </w:r>
    </w:p>
    <w:p w14:paraId="1E45AC67" w14:textId="77777777" w:rsidR="00BC2368" w:rsidRPr="00BC2368" w:rsidRDefault="00BC2368" w:rsidP="00BC2368">
      <w:pPr>
        <w:spacing w:after="0"/>
      </w:pPr>
    </w:p>
    <w:p w14:paraId="3CBEA7F9" w14:textId="6487DFF6" w:rsidR="0071751D" w:rsidRPr="00FD0845" w:rsidRDefault="0071751D" w:rsidP="00041907">
      <w:pPr>
        <w:pStyle w:val="Heading2"/>
        <w:spacing w:before="0" w:after="0"/>
        <w:rPr>
          <w:bCs/>
          <w:color w:val="000000" w:themeColor="text1"/>
          <w:sz w:val="26"/>
          <w:szCs w:val="28"/>
          <w:lang w:val="en-US"/>
        </w:rPr>
      </w:pPr>
      <w:r w:rsidRPr="00FD0845">
        <w:rPr>
          <w:bCs/>
          <w:color w:val="000000" w:themeColor="text1"/>
          <w:sz w:val="26"/>
          <w:szCs w:val="28"/>
          <w:lang w:val="en-US"/>
        </w:rPr>
        <w:t>Why sexual corruption needs urgent action</w:t>
      </w:r>
    </w:p>
    <w:p w14:paraId="715EAB72" w14:textId="1AA8B7B9" w:rsidR="002340F0" w:rsidRPr="00FD0845" w:rsidRDefault="002340F0" w:rsidP="002340F0">
      <w:pPr>
        <w:spacing w:before="240" w:after="0"/>
        <w:jc w:val="both"/>
        <w:rPr>
          <w:rFonts w:ascii="Inter" w:eastAsia="Inter" w:hAnsi="Inter" w:cs="Inter"/>
          <w:b/>
          <w:bCs/>
          <w:sz w:val="24"/>
          <w:szCs w:val="24"/>
          <w:lang w:val="en-US"/>
        </w:rPr>
      </w:pPr>
      <w:r w:rsidRPr="00FD0845">
        <w:rPr>
          <w:rFonts w:ascii="Inter" w:eastAsia="Inter" w:hAnsi="Inter" w:cs="Inter"/>
          <w:sz w:val="24"/>
          <w:szCs w:val="24"/>
          <w:lang w:val="en-US"/>
        </w:rPr>
        <w:t>Sexual corruption - the abuse of entrusted power for personal gain in the form of sex - is increasingly recognized in both academia and civil society spaces.</w:t>
      </w:r>
      <w:r w:rsidRPr="00FD0845">
        <w:rPr>
          <w:rFonts w:ascii="Inter" w:eastAsia="Inter" w:hAnsi="Inter" w:cs="Inter"/>
          <w:sz w:val="24"/>
          <w:szCs w:val="24"/>
          <w:vertAlign w:val="superscript"/>
          <w:lang w:val="en-US"/>
        </w:rPr>
        <w:footnoteReference w:id="2"/>
      </w:r>
      <w:r w:rsidRPr="00FD0845">
        <w:rPr>
          <w:rFonts w:ascii="Inter" w:eastAsia="Inter" w:hAnsi="Inter" w:cs="Inter"/>
          <w:sz w:val="24"/>
          <w:szCs w:val="24"/>
          <w:lang w:val="en-US"/>
        </w:rPr>
        <w:t xml:space="preserve"> Comprehensive global data is still lacking, but findings over the years indicate that sexual corruption is widespread.</w:t>
      </w:r>
      <w:r w:rsidRPr="00FD0845">
        <w:rPr>
          <w:rFonts w:ascii="Inter" w:eastAsia="Inter" w:hAnsi="Inter" w:cs="Inter"/>
          <w:sz w:val="24"/>
          <w:szCs w:val="24"/>
          <w:vertAlign w:val="superscript"/>
          <w:lang w:val="en-US"/>
        </w:rPr>
        <w:footnoteReference w:id="3"/>
      </w:r>
      <w:r w:rsidRPr="00FD0845">
        <w:rPr>
          <w:rFonts w:ascii="Inter" w:eastAsia="Inter" w:hAnsi="Inter" w:cs="Inter"/>
          <w:sz w:val="24"/>
          <w:szCs w:val="24"/>
          <w:lang w:val="en-US"/>
        </w:rPr>
        <w:t xml:space="preserve"> A wide range of case studies, documented in academic literature as well as in advocacy reports, demonstrate the occurrence of sexual corruption across diverse sectors and regions.</w:t>
      </w:r>
      <w:r w:rsidRPr="00FD0845">
        <w:rPr>
          <w:rFonts w:ascii="Inter" w:eastAsia="Inter" w:hAnsi="Inter" w:cs="Inter"/>
          <w:sz w:val="24"/>
          <w:szCs w:val="24"/>
          <w:vertAlign w:val="superscript"/>
          <w:lang w:val="en-US"/>
        </w:rPr>
        <w:footnoteReference w:id="4"/>
      </w:r>
      <w:r w:rsidRPr="00FD0845">
        <w:rPr>
          <w:rFonts w:ascii="Inter" w:eastAsia="Inter" w:hAnsi="Inter" w:cs="Inter"/>
          <w:sz w:val="24"/>
          <w:szCs w:val="24"/>
          <w:lang w:val="en-US"/>
        </w:rPr>
        <w:t xml:space="preserve"> They </w:t>
      </w:r>
      <w:r w:rsidRPr="00FD0845">
        <w:rPr>
          <w:rFonts w:ascii="Inter" w:eastAsia="Inter" w:hAnsi="Inter" w:cs="Inter"/>
          <w:sz w:val="24"/>
          <w:szCs w:val="24"/>
          <w:lang w:val="en-US"/>
        </w:rPr>
        <w:lastRenderedPageBreak/>
        <w:t>range from abuse of authority</w:t>
      </w:r>
      <w:r w:rsidRPr="00FD0845">
        <w:rPr>
          <w:rFonts w:ascii="Inter" w:eastAsia="Inter" w:hAnsi="Inter" w:cs="Inter"/>
          <w:sz w:val="24"/>
          <w:szCs w:val="24"/>
          <w:vertAlign w:val="superscript"/>
          <w:lang w:val="en-US"/>
        </w:rPr>
        <w:footnoteReference w:id="5"/>
      </w:r>
      <w:r w:rsidRPr="00FD0845">
        <w:rPr>
          <w:rFonts w:ascii="Inter" w:eastAsia="Inter" w:hAnsi="Inter" w:cs="Inter"/>
          <w:sz w:val="24"/>
          <w:szCs w:val="24"/>
          <w:lang w:val="en-US"/>
        </w:rPr>
        <w:t xml:space="preserve"> by immigration officers, police officers, and judges to that by teachers, professors, and humanitarian aid workers, among others.</w:t>
      </w:r>
      <w:r w:rsidRPr="00FD0845">
        <w:rPr>
          <w:rFonts w:ascii="Inter" w:eastAsia="Inter" w:hAnsi="Inter" w:cs="Inter"/>
          <w:sz w:val="24"/>
          <w:szCs w:val="24"/>
          <w:vertAlign w:val="superscript"/>
          <w:lang w:val="en-US"/>
        </w:rPr>
        <w:footnoteReference w:id="6"/>
      </w:r>
      <w:r w:rsidRPr="00FD0845">
        <w:rPr>
          <w:rFonts w:ascii="Inter" w:eastAsia="Inter" w:hAnsi="Inter" w:cs="Inter"/>
          <w:sz w:val="24"/>
          <w:szCs w:val="24"/>
          <w:lang w:val="en-US"/>
        </w:rPr>
        <w:t xml:space="preserve"> The sexual acts are leveraged in exchange for the provision of goods and services, such as the approval of refugee or asylum applications, favorable court decisions, grades or admission to university</w:t>
      </w:r>
      <w:r w:rsidR="00606825" w:rsidRPr="00FD0845">
        <w:rPr>
          <w:rFonts w:ascii="Inter" w:eastAsia="Inter" w:hAnsi="Inter" w:cs="Inter"/>
          <w:sz w:val="24"/>
          <w:szCs w:val="24"/>
          <w:lang w:val="en-US"/>
        </w:rPr>
        <w:t>,</w:t>
      </w:r>
      <w:r w:rsidRPr="00FD0845">
        <w:rPr>
          <w:rFonts w:ascii="Inter" w:eastAsia="Inter" w:hAnsi="Inter" w:cs="Inter"/>
          <w:sz w:val="24"/>
          <w:szCs w:val="24"/>
          <w:lang w:val="en-US"/>
        </w:rPr>
        <w:t xml:space="preserve"> or the provision of food and medicine as aid.</w:t>
      </w:r>
      <w:r w:rsidRPr="00FD0845">
        <w:rPr>
          <w:rFonts w:ascii="Inter" w:eastAsia="Inter" w:hAnsi="Inter" w:cs="Inter"/>
          <w:sz w:val="24"/>
          <w:szCs w:val="24"/>
          <w:vertAlign w:val="superscript"/>
          <w:lang w:val="en-US"/>
        </w:rPr>
        <w:footnoteReference w:id="7"/>
      </w:r>
      <w:r w:rsidRPr="00FD0845">
        <w:rPr>
          <w:rFonts w:ascii="Inter" w:eastAsia="Inter" w:hAnsi="Inter" w:cs="Inter"/>
          <w:sz w:val="24"/>
          <w:szCs w:val="24"/>
          <w:lang w:val="en-US"/>
        </w:rPr>
        <w:t xml:space="preserve"> These cases demonstrate how sex is leveraged as a “currency” of corruption, replacing the conventional notion of financial gain. The consequences of sexual corruption transcend the well-documented socio-economic consequences of corruption, as they strike directly at the dignity and bodily integrity of those affected, often compounded by victim</w:t>
      </w:r>
      <w:r w:rsidR="00AC1B9B">
        <w:rPr>
          <w:rFonts w:ascii="Inter" w:eastAsia="Inter" w:hAnsi="Inter" w:cs="Inter"/>
          <w:sz w:val="24"/>
          <w:szCs w:val="24"/>
          <w:lang w:val="en-US"/>
        </w:rPr>
        <w:t>-</w:t>
      </w:r>
      <w:r w:rsidRPr="00FD0845">
        <w:rPr>
          <w:rFonts w:ascii="Inter" w:eastAsia="Inter" w:hAnsi="Inter" w:cs="Inter"/>
          <w:sz w:val="24"/>
          <w:szCs w:val="24"/>
          <w:lang w:val="en-US"/>
        </w:rPr>
        <w:t>blaming, shaming practices, and the lack of victim-sensitive reporting and redress mechanisms.</w:t>
      </w:r>
      <w:r w:rsidRPr="00FD0845">
        <w:rPr>
          <w:rFonts w:ascii="Inter" w:eastAsia="Inter" w:hAnsi="Inter" w:cs="Inter"/>
          <w:sz w:val="24"/>
          <w:szCs w:val="24"/>
          <w:vertAlign w:val="superscript"/>
          <w:lang w:val="en-US"/>
        </w:rPr>
        <w:footnoteReference w:id="8"/>
      </w:r>
      <w:r w:rsidRPr="00FD0845">
        <w:rPr>
          <w:rFonts w:ascii="Inter" w:eastAsia="Inter" w:hAnsi="Inter" w:cs="Inter"/>
          <w:sz w:val="24"/>
          <w:szCs w:val="24"/>
          <w:lang w:val="en-US"/>
        </w:rPr>
        <w:t xml:space="preserve">  </w:t>
      </w:r>
    </w:p>
    <w:p w14:paraId="61C582F2" w14:textId="77777777" w:rsidR="00041907" w:rsidRPr="00FD0845" w:rsidRDefault="00041907" w:rsidP="00041907">
      <w:pPr>
        <w:spacing w:after="0"/>
        <w:jc w:val="both"/>
        <w:rPr>
          <w:rFonts w:ascii="Inter" w:eastAsia="Inter" w:hAnsi="Inter" w:cs="Inter"/>
          <w:b/>
          <w:bCs/>
          <w:sz w:val="24"/>
          <w:szCs w:val="24"/>
          <w:lang w:val="en-US"/>
        </w:rPr>
      </w:pPr>
    </w:p>
    <w:p w14:paraId="37C3C257" w14:textId="6C4F6352" w:rsidR="0071751D" w:rsidRPr="00FD0845" w:rsidRDefault="0071751D" w:rsidP="00041907">
      <w:pPr>
        <w:pStyle w:val="Heading2"/>
        <w:spacing w:before="0" w:after="0"/>
        <w:rPr>
          <w:bCs/>
          <w:color w:val="000000" w:themeColor="text1"/>
          <w:sz w:val="26"/>
          <w:szCs w:val="28"/>
          <w:lang w:val="en-US"/>
        </w:rPr>
      </w:pPr>
      <w:r w:rsidRPr="00FD0845">
        <w:rPr>
          <w:bCs/>
          <w:color w:val="000000" w:themeColor="text1"/>
          <w:sz w:val="26"/>
          <w:szCs w:val="28"/>
          <w:lang w:val="en-US"/>
        </w:rPr>
        <w:t>Global anti-corruption efforts to address sexual corruption</w:t>
      </w:r>
    </w:p>
    <w:p w14:paraId="6FDB5970" w14:textId="559CF04C" w:rsidR="0071751D" w:rsidRPr="00FD0845" w:rsidRDefault="0071751D" w:rsidP="008C79BC">
      <w:pPr>
        <w:spacing w:before="240" w:after="0"/>
        <w:jc w:val="both"/>
        <w:rPr>
          <w:rFonts w:ascii="Inter" w:eastAsia="Inter" w:hAnsi="Inter" w:cs="Inter"/>
          <w:sz w:val="24"/>
          <w:szCs w:val="24"/>
          <w:lang w:val="en-US"/>
        </w:rPr>
      </w:pPr>
      <w:hyperlink r:id="rId8" w:anchor="Res.10-1">
        <w:r w:rsidRPr="00FD0845">
          <w:rPr>
            <w:rStyle w:val="Hyperlink"/>
            <w:rFonts w:ascii="Inter" w:eastAsia="Inter" w:hAnsi="Inter" w:cs="Inter"/>
            <w:sz w:val="24"/>
            <w:szCs w:val="24"/>
            <w:lang w:val="en-US"/>
          </w:rPr>
          <w:t>Resolution 10/10</w:t>
        </w:r>
      </w:hyperlink>
      <w:r w:rsidRPr="00FD0845">
        <w:rPr>
          <w:rFonts w:ascii="Inter" w:eastAsia="Inter" w:hAnsi="Inter" w:cs="Inter"/>
          <w:sz w:val="24"/>
          <w:szCs w:val="24"/>
          <w:lang w:val="en-US"/>
        </w:rPr>
        <w:t xml:space="preserve"> (hereinafter referred to as “the Resolution”), adopted at the Tenth Session of the Conference of the States Parties to the UNCAC (CoSP10) in 2023, was the first global anti-corruption measure toward recognizing sexual corruption as a distinct form of corruption. Entitled </w:t>
      </w:r>
      <w:r w:rsidRPr="00FD0845">
        <w:rPr>
          <w:rFonts w:ascii="Inter" w:eastAsia="Inter" w:hAnsi="Inter" w:cs="Inter"/>
          <w:i/>
          <w:iCs/>
          <w:sz w:val="24"/>
          <w:szCs w:val="24"/>
          <w:lang w:val="en-US"/>
        </w:rPr>
        <w:t xml:space="preserve">‘Addressing the societal impacts of corruption’, </w:t>
      </w:r>
      <w:r w:rsidRPr="00FD0845">
        <w:rPr>
          <w:rFonts w:ascii="Inter" w:eastAsia="Inter" w:hAnsi="Inter" w:cs="Inter"/>
          <w:sz w:val="24"/>
          <w:szCs w:val="24"/>
          <w:lang w:val="en-US"/>
        </w:rPr>
        <w:t>it calls for the incorporation of a gender perspective into global anti-corruption efforts. Within this framework, the Resolution explicitly calls on States Parties to take measures to address sexual corruption. Suggested actions include raising awareness of the existence of sexual corruption, closing legislative gaps</w:t>
      </w:r>
      <w:r w:rsidR="00606825" w:rsidRPr="00FD0845">
        <w:rPr>
          <w:rFonts w:ascii="Inter" w:eastAsia="Inter" w:hAnsi="Inter" w:cs="Inter"/>
          <w:sz w:val="24"/>
          <w:szCs w:val="24"/>
          <w:lang w:val="en-US"/>
        </w:rPr>
        <w:t>,</w:t>
      </w:r>
      <w:r w:rsidRPr="00FD0845">
        <w:rPr>
          <w:rFonts w:ascii="Inter" w:eastAsia="Inter" w:hAnsi="Inter" w:cs="Inter"/>
          <w:sz w:val="24"/>
          <w:szCs w:val="24"/>
          <w:lang w:val="en-US"/>
        </w:rPr>
        <w:t xml:space="preserve"> and implementing effective prevention and law enforcement measures. The Resolution further recognizes that sexual corruption predominantly affects women and girls, underscoring the gendered consequences</w:t>
      </w:r>
      <w:r w:rsidR="00606825" w:rsidRPr="00FD0845">
        <w:rPr>
          <w:rFonts w:ascii="Inter" w:eastAsia="Inter" w:hAnsi="Inter" w:cs="Inter"/>
          <w:sz w:val="24"/>
          <w:szCs w:val="24"/>
          <w:lang w:val="en-US"/>
        </w:rPr>
        <w:t xml:space="preserve"> and</w:t>
      </w:r>
      <w:r w:rsidRPr="00FD0845">
        <w:rPr>
          <w:rFonts w:ascii="Inter" w:eastAsia="Inter" w:hAnsi="Inter" w:cs="Inter"/>
          <w:sz w:val="24"/>
          <w:szCs w:val="24"/>
          <w:lang w:val="en-US"/>
        </w:rPr>
        <w:t xml:space="preserve"> highlighting its psychological, social, and economic impacts.</w:t>
      </w:r>
      <w:r w:rsidRPr="00FD0845">
        <w:rPr>
          <w:rFonts w:ascii="Inter" w:eastAsia="Inter" w:hAnsi="Inter" w:cs="Inter"/>
          <w:sz w:val="24"/>
          <w:szCs w:val="24"/>
          <w:vertAlign w:val="superscript"/>
          <w:lang w:val="en-US"/>
        </w:rPr>
        <w:footnoteReference w:id="9"/>
      </w:r>
      <w:r w:rsidRPr="00FD0845">
        <w:rPr>
          <w:rFonts w:ascii="Inter" w:eastAsia="Inter" w:hAnsi="Inter" w:cs="Inter"/>
          <w:sz w:val="24"/>
          <w:szCs w:val="24"/>
          <w:lang w:val="en-US"/>
        </w:rPr>
        <w:t xml:space="preserve">  </w:t>
      </w:r>
    </w:p>
    <w:p w14:paraId="77924304" w14:textId="78281938" w:rsidR="00041907" w:rsidRPr="00FD0845" w:rsidRDefault="00041907" w:rsidP="00041907">
      <w:pPr>
        <w:spacing w:before="240" w:after="0"/>
        <w:jc w:val="both"/>
        <w:rPr>
          <w:rFonts w:ascii="Inter" w:eastAsia="Inter" w:hAnsi="Inter" w:cs="Inter"/>
          <w:sz w:val="24"/>
          <w:szCs w:val="24"/>
          <w:lang w:val="en-US"/>
        </w:rPr>
      </w:pPr>
      <w:r w:rsidRPr="00FD0845">
        <w:rPr>
          <w:rFonts w:ascii="Inter" w:eastAsia="Inter" w:hAnsi="Inter" w:cs="Inter"/>
          <w:noProof/>
          <w:sz w:val="24"/>
          <w:szCs w:val="24"/>
          <w:lang w:val="en-US"/>
        </w:rPr>
        <mc:AlternateContent>
          <mc:Choice Requires="wps">
            <w:drawing>
              <wp:anchor distT="0" distB="0" distL="114300" distR="114300" simplePos="0" relativeHeight="251658240" behindDoc="1" locked="0" layoutInCell="1" allowOverlap="1" wp14:anchorId="26DB5014" wp14:editId="7A519E4E">
                <wp:simplePos x="0" y="0"/>
                <wp:positionH relativeFrom="column">
                  <wp:posOffset>468630</wp:posOffset>
                </wp:positionH>
                <wp:positionV relativeFrom="paragraph">
                  <wp:posOffset>130175</wp:posOffset>
                </wp:positionV>
                <wp:extent cx="4876165" cy="2523490"/>
                <wp:effectExtent l="0" t="0" r="13335" b="16510"/>
                <wp:wrapTight wrapText="bothSides">
                  <wp:wrapPolygon edited="0">
                    <wp:start x="0" y="0"/>
                    <wp:lineTo x="0" y="21633"/>
                    <wp:lineTo x="21603" y="21633"/>
                    <wp:lineTo x="21603" y="0"/>
                    <wp:lineTo x="0" y="0"/>
                  </wp:wrapPolygon>
                </wp:wrapTight>
                <wp:docPr id="1406664882" name="Rectangle 1406664882"/>
                <wp:cNvGraphicFramePr/>
                <a:graphic xmlns:a="http://schemas.openxmlformats.org/drawingml/2006/main">
                  <a:graphicData uri="http://schemas.microsoft.com/office/word/2010/wordprocessingShape">
                    <wps:wsp>
                      <wps:cNvSpPr/>
                      <wps:spPr>
                        <a:xfrm>
                          <a:off x="0" y="0"/>
                          <a:ext cx="4876165" cy="2523490"/>
                        </a:xfrm>
                        <a:prstGeom prst="rect">
                          <a:avLst/>
                        </a:prstGeom>
                        <a:solidFill>
                          <a:schemeClr val="lt1"/>
                        </a:solidFill>
                        <a:ln w="9525" cap="flat" cmpd="sng">
                          <a:solidFill>
                            <a:srgbClr val="000000"/>
                          </a:solidFill>
                          <a:prstDash val="solid"/>
                          <a:round/>
                          <a:headEnd type="none" w="sm" len="sm"/>
                          <a:tailEnd type="none" w="sm" len="sm"/>
                        </a:ln>
                      </wps:spPr>
                      <wps:txbx>
                        <w:txbxContent>
                          <w:p w14:paraId="34386004" w14:textId="77777777" w:rsidR="0071751D" w:rsidRPr="00AC1B9B" w:rsidRDefault="0071751D" w:rsidP="0071751D">
                            <w:pPr>
                              <w:spacing w:line="275" w:lineRule="auto"/>
                              <w:jc w:val="center"/>
                              <w:textDirection w:val="btLr"/>
                              <w:rPr>
                                <w:sz w:val="22"/>
                                <w:szCs w:val="24"/>
                              </w:rPr>
                            </w:pPr>
                            <w:r w:rsidRPr="00AC1B9B">
                              <w:rPr>
                                <w:rFonts w:eastAsia="Cambria" w:cs="Cambria"/>
                                <w:color w:val="000000"/>
                                <w:sz w:val="24"/>
                                <w:szCs w:val="24"/>
                              </w:rPr>
                              <w:t xml:space="preserve">Resolution 10/10 adopted at CoSP10, PP: Recognizing also that demanding sex or acts of a sexual nature within the context of the abuse of authority may be considered a particular form of corruption, which is primarily perpetrated against women and girls, and concerned about the serious negative impact of such situations on them, </w:t>
                            </w:r>
                          </w:p>
                          <w:p w14:paraId="71C83611" w14:textId="77777777" w:rsidR="0071751D" w:rsidRPr="00AC1B9B" w:rsidRDefault="0071751D" w:rsidP="0071751D">
                            <w:pPr>
                              <w:spacing w:line="275" w:lineRule="auto"/>
                              <w:jc w:val="center"/>
                              <w:textDirection w:val="btLr"/>
                              <w:rPr>
                                <w:sz w:val="22"/>
                                <w:szCs w:val="24"/>
                              </w:rPr>
                            </w:pPr>
                            <w:r w:rsidRPr="00AC1B9B">
                              <w:rPr>
                                <w:rFonts w:eastAsia="Cambria" w:cs="Cambria"/>
                                <w:color w:val="000000"/>
                                <w:sz w:val="24"/>
                                <w:szCs w:val="24"/>
                              </w:rPr>
                              <w:t xml:space="preserve">Resolution 10/10 adopted at CoSP10, OP 6: Encourages States parties to raise awareness that demanding sex or acts of a sexual nature within the context of the abuse of authority may be considered a particular form of corruption, and to close potential legislative gaps, as necessary, and take further measures, as needed and appropriate, in order to prevent and prosecute such forms of corruption effectively; </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26DB5014" id="Rectangle 1406664882" o:spid="_x0000_s1026" style="position:absolute;left:0;text-align:left;margin-left:36.9pt;margin-top:10.25pt;width:383.95pt;height:19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" fillcolor="white [3201]">
                <v:stroke startarrowwidth="narrow" startarrowlength="short" endarrowwidth="narrow" endarrowlength="short" joinstyle="round"/>
                <v:textbox inset="2.53958mm,1.2694mm,2.53958mm,1.2694mm">
                  <w:txbxContent>
                    <w:p w14:paraId="34386004" w14:textId="77777777" w:rsidR="0071751D" w:rsidRPr="00AC1B9B" w:rsidRDefault="0071751D" w:rsidP="0071751D">
                      <w:pPr>
                        <w:spacing w:line="275" w:lineRule="auto"/>
                        <w:jc w:val="center"/>
                        <w:textDirection w:val="btLr"/>
                        <w:rPr>
                          <w:sz w:val="22"/>
                          <w:szCs w:val="24"/>
                        </w:rPr>
                      </w:pPr>
                      <w:r w:rsidRPr="00AC1B9B">
                        <w:rPr>
                          <w:rFonts w:eastAsia="Cambria" w:cs="Cambria"/>
                          <w:color w:val="000000"/>
                          <w:sz w:val="24"/>
                          <w:szCs w:val="24"/>
                        </w:rPr>
                        <w:t xml:space="preserve">Resolution 10/10 adopted at CoSP10, PP: Recognizing also that demanding sex or acts of a sexual nature within the context of the abuse of authority may be considered a particular form of corruption, which is primarily perpetrated against women and girls, and concerned about the serious negative impact of such situations on them, </w:t>
                      </w:r>
                    </w:p>
                    <w:p w14:paraId="71C83611" w14:textId="77777777" w:rsidR="0071751D" w:rsidRPr="00AC1B9B" w:rsidRDefault="0071751D" w:rsidP="0071751D">
                      <w:pPr>
                        <w:spacing w:line="275" w:lineRule="auto"/>
                        <w:jc w:val="center"/>
                        <w:textDirection w:val="btLr"/>
                        <w:rPr>
                          <w:sz w:val="22"/>
                          <w:szCs w:val="24"/>
                        </w:rPr>
                      </w:pPr>
                      <w:r w:rsidRPr="00AC1B9B">
                        <w:rPr>
                          <w:rFonts w:eastAsia="Cambria" w:cs="Cambria"/>
                          <w:color w:val="000000"/>
                          <w:sz w:val="24"/>
                          <w:szCs w:val="24"/>
                        </w:rPr>
                        <w:t xml:space="preserve">Resolution 10/10 adopted at CoSP10, OP 6: Encourages States parties to raise awareness that demanding sex or acts of a sexual nature within the context of the abuse of authority may be considered a particular form of corruption, and to close potential legislative gaps, as necessary, and take further measures, as needed and appropriate, in order to prevent and prosecute such forms of corruption effectively; </w:t>
                      </w:r>
                    </w:p>
                  </w:txbxContent>
                </v:textbox>
                <w10:wrap type="tight"/>
              </v:rect>
            </w:pict>
          </mc:Fallback>
        </mc:AlternateContent>
      </w:r>
    </w:p>
    <w:p w14:paraId="1D120B1D" w14:textId="08D6CC0C" w:rsidR="0071751D" w:rsidRPr="00FD0845" w:rsidRDefault="0071751D" w:rsidP="0071751D">
      <w:pPr>
        <w:spacing w:before="240" w:after="240"/>
        <w:jc w:val="both"/>
        <w:rPr>
          <w:rFonts w:ascii="Inter" w:eastAsia="Inter" w:hAnsi="Inter" w:cs="Inter"/>
          <w:sz w:val="24"/>
          <w:szCs w:val="24"/>
          <w:lang w:val="en-US"/>
        </w:rPr>
      </w:pPr>
    </w:p>
    <w:p w14:paraId="3662509C" w14:textId="77777777" w:rsidR="00041907" w:rsidRPr="00FD0845" w:rsidRDefault="00041907" w:rsidP="00041907">
      <w:pPr>
        <w:spacing w:after="0"/>
        <w:jc w:val="both"/>
        <w:rPr>
          <w:rFonts w:ascii="Inter" w:eastAsia="Inter" w:hAnsi="Inter" w:cs="Inter"/>
          <w:sz w:val="24"/>
          <w:szCs w:val="24"/>
          <w:lang w:val="en-US"/>
        </w:rPr>
      </w:pPr>
    </w:p>
    <w:p w14:paraId="4E070DB4" w14:textId="77777777" w:rsidR="00041907" w:rsidRPr="00FD0845" w:rsidRDefault="00041907" w:rsidP="00041907">
      <w:pPr>
        <w:spacing w:after="0"/>
        <w:jc w:val="both"/>
        <w:rPr>
          <w:rFonts w:ascii="Inter" w:eastAsia="Inter" w:hAnsi="Inter" w:cs="Inter"/>
          <w:sz w:val="24"/>
          <w:szCs w:val="24"/>
          <w:lang w:val="en-US"/>
        </w:rPr>
      </w:pPr>
    </w:p>
    <w:p w14:paraId="0EB0B1B6" w14:textId="77777777" w:rsidR="00041907" w:rsidRPr="00FD0845" w:rsidRDefault="00041907" w:rsidP="00041907">
      <w:pPr>
        <w:spacing w:after="0"/>
        <w:jc w:val="both"/>
        <w:rPr>
          <w:rFonts w:ascii="Inter" w:eastAsia="Inter" w:hAnsi="Inter" w:cs="Inter"/>
          <w:sz w:val="24"/>
          <w:szCs w:val="24"/>
          <w:lang w:val="en-US"/>
        </w:rPr>
      </w:pPr>
    </w:p>
    <w:p w14:paraId="714F0F2A" w14:textId="77777777" w:rsidR="00041907" w:rsidRPr="00FD0845" w:rsidRDefault="00041907" w:rsidP="00041907">
      <w:pPr>
        <w:spacing w:after="0"/>
        <w:jc w:val="both"/>
        <w:rPr>
          <w:rFonts w:ascii="Inter" w:eastAsia="Inter" w:hAnsi="Inter" w:cs="Inter"/>
          <w:sz w:val="24"/>
          <w:szCs w:val="24"/>
          <w:lang w:val="en-US"/>
        </w:rPr>
      </w:pPr>
    </w:p>
    <w:p w14:paraId="539F4FAA" w14:textId="77777777" w:rsidR="00041907" w:rsidRPr="00FD0845" w:rsidRDefault="00041907" w:rsidP="00041907">
      <w:pPr>
        <w:spacing w:after="0"/>
        <w:jc w:val="both"/>
        <w:rPr>
          <w:rFonts w:ascii="Inter" w:eastAsia="Inter" w:hAnsi="Inter" w:cs="Inter"/>
          <w:sz w:val="24"/>
          <w:szCs w:val="24"/>
          <w:lang w:val="en-US"/>
        </w:rPr>
      </w:pPr>
    </w:p>
    <w:p w14:paraId="62C0AB10" w14:textId="77777777" w:rsidR="00041907" w:rsidRPr="00FD0845" w:rsidRDefault="00041907" w:rsidP="00041907">
      <w:pPr>
        <w:spacing w:after="0"/>
        <w:jc w:val="both"/>
        <w:rPr>
          <w:rFonts w:ascii="Inter" w:eastAsia="Inter" w:hAnsi="Inter" w:cs="Inter"/>
          <w:sz w:val="24"/>
          <w:szCs w:val="24"/>
          <w:lang w:val="en-US"/>
        </w:rPr>
      </w:pPr>
    </w:p>
    <w:p w14:paraId="147FC570" w14:textId="77777777" w:rsidR="00041907" w:rsidRPr="00FD0845" w:rsidRDefault="00041907" w:rsidP="00041907">
      <w:pPr>
        <w:spacing w:after="0"/>
        <w:jc w:val="both"/>
        <w:rPr>
          <w:rFonts w:ascii="Inter" w:eastAsia="Inter" w:hAnsi="Inter" w:cs="Inter"/>
          <w:sz w:val="24"/>
          <w:szCs w:val="24"/>
          <w:lang w:val="en-US"/>
        </w:rPr>
      </w:pPr>
    </w:p>
    <w:p w14:paraId="411B6614" w14:textId="77777777" w:rsidR="00041907" w:rsidRPr="00FD0845" w:rsidRDefault="00041907" w:rsidP="00041907">
      <w:pPr>
        <w:spacing w:after="0"/>
        <w:jc w:val="both"/>
        <w:rPr>
          <w:rFonts w:ascii="Inter" w:eastAsia="Inter" w:hAnsi="Inter" w:cs="Inter"/>
          <w:sz w:val="24"/>
          <w:szCs w:val="24"/>
          <w:lang w:val="en-US"/>
        </w:rPr>
      </w:pPr>
    </w:p>
    <w:p w14:paraId="3E3E3872" w14:textId="77777777" w:rsidR="00041907" w:rsidRPr="00FD0845" w:rsidRDefault="00041907" w:rsidP="00041907">
      <w:pPr>
        <w:spacing w:after="0"/>
        <w:jc w:val="both"/>
        <w:rPr>
          <w:rFonts w:ascii="Inter" w:eastAsia="Inter" w:hAnsi="Inter" w:cs="Inter"/>
          <w:sz w:val="24"/>
          <w:szCs w:val="24"/>
          <w:lang w:val="en-US"/>
        </w:rPr>
      </w:pPr>
    </w:p>
    <w:p w14:paraId="02E134DE" w14:textId="74083A83" w:rsidR="00041907" w:rsidRPr="00FD0845" w:rsidRDefault="0071751D" w:rsidP="00041907">
      <w:pPr>
        <w:spacing w:after="0"/>
        <w:jc w:val="both"/>
        <w:rPr>
          <w:rFonts w:ascii="Inter" w:eastAsia="Inter" w:hAnsi="Inter" w:cs="Inter"/>
          <w:sz w:val="24"/>
          <w:szCs w:val="24"/>
          <w:lang w:val="en-US"/>
        </w:rPr>
      </w:pPr>
      <w:r w:rsidRPr="00FD0845">
        <w:rPr>
          <w:rFonts w:ascii="Inter" w:eastAsia="Inter" w:hAnsi="Inter" w:cs="Inter"/>
          <w:sz w:val="24"/>
          <w:szCs w:val="24"/>
          <w:lang w:val="en-US"/>
        </w:rPr>
        <w:t>Advancing Resolution 10/10 requires concrete measures to prevent and address sexual corruption, translating its commitments into actionable policies and practices</w:t>
      </w:r>
      <w:r w:rsidR="00041907" w:rsidRPr="00FD0845">
        <w:rPr>
          <w:rFonts w:ascii="Inter" w:eastAsia="Inter" w:hAnsi="Inter" w:cs="Inter"/>
          <w:sz w:val="24"/>
          <w:szCs w:val="24"/>
          <w:lang w:val="en-US"/>
        </w:rPr>
        <w:t>.</w:t>
      </w:r>
    </w:p>
    <w:p w14:paraId="79956CD6" w14:textId="77777777" w:rsidR="00041907" w:rsidRPr="00FD0845" w:rsidRDefault="00041907" w:rsidP="00041907">
      <w:pPr>
        <w:spacing w:after="0"/>
        <w:jc w:val="both"/>
        <w:rPr>
          <w:rFonts w:ascii="Inter" w:eastAsia="Inter" w:hAnsi="Inter" w:cs="Inter"/>
          <w:sz w:val="24"/>
          <w:szCs w:val="24"/>
          <w:lang w:val="en-US"/>
        </w:rPr>
      </w:pPr>
    </w:p>
    <w:p w14:paraId="5DC5D0A1" w14:textId="08E18636" w:rsidR="00041907" w:rsidRPr="00FD0845" w:rsidRDefault="0071751D" w:rsidP="00041907">
      <w:pPr>
        <w:pStyle w:val="Heading2"/>
        <w:spacing w:before="0" w:after="0"/>
        <w:rPr>
          <w:bCs/>
          <w:color w:val="000000" w:themeColor="text1"/>
          <w:sz w:val="26"/>
          <w:szCs w:val="28"/>
          <w:lang w:val="en-US"/>
        </w:rPr>
      </w:pPr>
      <w:r w:rsidRPr="00FD0845">
        <w:rPr>
          <w:bCs/>
          <w:color w:val="000000" w:themeColor="text1"/>
          <w:sz w:val="26"/>
          <w:szCs w:val="28"/>
          <w:lang w:val="en-US"/>
        </w:rPr>
        <w:lastRenderedPageBreak/>
        <w:t>Approaches and gaps in addressing sexual corruption</w:t>
      </w:r>
    </w:p>
    <w:p w14:paraId="5C842B8E" w14:textId="22A94C9A" w:rsidR="0071751D" w:rsidRPr="00FD0845" w:rsidRDefault="0071751D" w:rsidP="00041907">
      <w:pPr>
        <w:spacing w:before="240" w:after="0"/>
        <w:jc w:val="both"/>
        <w:rPr>
          <w:rFonts w:ascii="Inter" w:eastAsia="Inter" w:hAnsi="Inter" w:cs="Inter"/>
          <w:sz w:val="24"/>
          <w:szCs w:val="24"/>
          <w:lang w:val="en-US"/>
        </w:rPr>
      </w:pPr>
      <w:bookmarkStart w:id="0" w:name="_heading=h.82bhnx5nvp8d" w:colFirst="0" w:colLast="0"/>
      <w:bookmarkEnd w:id="0"/>
      <w:r w:rsidRPr="00FD0845">
        <w:rPr>
          <w:rFonts w:ascii="Inter" w:eastAsia="Inter" w:hAnsi="Inter" w:cs="Inter"/>
          <w:sz w:val="24"/>
          <w:szCs w:val="24"/>
          <w:lang w:val="en-US"/>
        </w:rPr>
        <w:t>Robust legislation to address sexual corruption is largely absent, and most countries have no specific laws on the issue.</w:t>
      </w:r>
      <w:r w:rsidRPr="00FD0845">
        <w:rPr>
          <w:rFonts w:ascii="Inter" w:eastAsia="Inter" w:hAnsi="Inter" w:cs="Inter"/>
          <w:sz w:val="24"/>
          <w:szCs w:val="24"/>
          <w:vertAlign w:val="superscript"/>
          <w:lang w:val="en-US"/>
        </w:rPr>
        <w:footnoteReference w:id="10"/>
      </w:r>
      <w:r w:rsidRPr="00FD0845">
        <w:rPr>
          <w:rFonts w:ascii="Inter" w:eastAsia="Inter" w:hAnsi="Inter" w:cs="Inter"/>
          <w:sz w:val="24"/>
          <w:szCs w:val="24"/>
          <w:lang w:val="en-US"/>
        </w:rPr>
        <w:t xml:space="preserve"> Existing legal avenues are found in anti-corruption, anti-gender-based violence (GBV), and anti-discrimination or harassment legislation</w:t>
      </w:r>
      <w:r w:rsidR="00606825" w:rsidRPr="00FD0845">
        <w:rPr>
          <w:rFonts w:ascii="Inter" w:eastAsia="Inter" w:hAnsi="Inter" w:cs="Inter"/>
          <w:sz w:val="24"/>
          <w:szCs w:val="24"/>
          <w:lang w:val="en-US"/>
        </w:rPr>
        <w:t>,</w:t>
      </w:r>
      <w:r w:rsidRPr="00FD0845">
        <w:rPr>
          <w:rFonts w:ascii="Inter" w:eastAsia="Inter" w:hAnsi="Inter" w:cs="Inter"/>
          <w:sz w:val="24"/>
          <w:szCs w:val="24"/>
          <w:vertAlign w:val="superscript"/>
          <w:lang w:val="en-US"/>
        </w:rPr>
        <w:footnoteReference w:id="11"/>
      </w:r>
      <w:r w:rsidRPr="00FD0845">
        <w:rPr>
          <w:rFonts w:ascii="Inter" w:eastAsia="Inter" w:hAnsi="Inter" w:cs="Inter"/>
          <w:sz w:val="24"/>
          <w:szCs w:val="24"/>
          <w:vertAlign w:val="superscript"/>
          <w:lang w:val="en-US"/>
        </w:rPr>
        <w:t xml:space="preserve"> </w:t>
      </w:r>
      <w:r w:rsidRPr="00FD0845">
        <w:rPr>
          <w:rFonts w:ascii="Inter" w:eastAsia="Inter" w:hAnsi="Inter" w:cs="Inter"/>
          <w:sz w:val="24"/>
          <w:szCs w:val="24"/>
          <w:lang w:val="en-US"/>
        </w:rPr>
        <w:t>but because cases of sexual corruption often do not fit neatly within these frameworks</w:t>
      </w:r>
      <w:r w:rsidR="00606825" w:rsidRPr="00FD0845">
        <w:rPr>
          <w:rFonts w:ascii="Inter" w:eastAsia="Inter" w:hAnsi="Inter" w:cs="Inter"/>
          <w:sz w:val="24"/>
          <w:szCs w:val="24"/>
          <w:lang w:val="en-US"/>
        </w:rPr>
        <w:t>,</w:t>
      </w:r>
      <w:r w:rsidRPr="00FD0845">
        <w:rPr>
          <w:rFonts w:ascii="Inter" w:eastAsia="Inter" w:hAnsi="Inter" w:cs="Inter"/>
          <w:sz w:val="24"/>
          <w:szCs w:val="24"/>
          <w:lang w:val="en-US"/>
        </w:rPr>
        <w:t xml:space="preserve"> they frequently fall between lines of responsibility.</w:t>
      </w:r>
      <w:r w:rsidRPr="00FD0845">
        <w:rPr>
          <w:rFonts w:ascii="Inter" w:eastAsia="Inter" w:hAnsi="Inter" w:cs="Inter"/>
          <w:sz w:val="24"/>
          <w:szCs w:val="24"/>
          <w:vertAlign w:val="superscript"/>
          <w:lang w:val="en-US"/>
        </w:rPr>
        <w:footnoteReference w:id="12"/>
      </w:r>
      <w:r w:rsidRPr="00FD0845">
        <w:rPr>
          <w:rFonts w:ascii="Inter" w:eastAsia="Inter" w:hAnsi="Inter" w:cs="Inter"/>
          <w:sz w:val="24"/>
          <w:szCs w:val="24"/>
          <w:lang w:val="en-US"/>
        </w:rPr>
        <w:t xml:space="preserve"> </w:t>
      </w:r>
    </w:p>
    <w:p w14:paraId="15BB6D87" w14:textId="77777777" w:rsidR="0046097D" w:rsidRPr="00FD0845" w:rsidRDefault="0046097D" w:rsidP="0046097D">
      <w:pPr>
        <w:spacing w:after="0"/>
        <w:jc w:val="both"/>
        <w:rPr>
          <w:rFonts w:ascii="Inter" w:eastAsia="Inter" w:hAnsi="Inter" w:cs="Inter"/>
          <w:sz w:val="24"/>
          <w:szCs w:val="24"/>
          <w:lang w:val="en-US"/>
        </w:rPr>
      </w:pPr>
    </w:p>
    <w:p w14:paraId="56FBC417" w14:textId="3DCB9CCF" w:rsidR="0071751D" w:rsidRPr="00FD0845" w:rsidRDefault="0071751D" w:rsidP="00041907">
      <w:pPr>
        <w:spacing w:after="0"/>
        <w:jc w:val="both"/>
        <w:rPr>
          <w:rFonts w:ascii="Inter" w:eastAsia="Inter" w:hAnsi="Inter" w:cs="Inter"/>
          <w:sz w:val="24"/>
          <w:szCs w:val="24"/>
          <w:lang w:val="en-US"/>
        </w:rPr>
      </w:pPr>
      <w:r w:rsidRPr="00FD0845">
        <w:rPr>
          <w:rFonts w:ascii="Inter" w:eastAsia="Inter" w:hAnsi="Inter" w:cs="Inter"/>
          <w:sz w:val="24"/>
          <w:szCs w:val="24"/>
          <w:lang w:val="en-US"/>
        </w:rPr>
        <w:t>Many anti-corruption laws fail to recognize sex as a form of currency. This contributes to uncertainty and underreporting, as victims do not recognize it as corruption. It also perpetuates impunity as victims do not report the perpetrators.</w:t>
      </w:r>
      <w:r w:rsidRPr="00FD0845">
        <w:rPr>
          <w:rFonts w:ascii="Inter" w:eastAsia="Inter" w:hAnsi="Inter" w:cs="Inter"/>
          <w:sz w:val="24"/>
          <w:szCs w:val="24"/>
          <w:vertAlign w:val="superscript"/>
          <w:lang w:val="en-US"/>
        </w:rPr>
        <w:footnoteReference w:id="13"/>
      </w:r>
      <w:r w:rsidRPr="00FD0845">
        <w:rPr>
          <w:rFonts w:ascii="Inter" w:eastAsia="Inter" w:hAnsi="Inter" w:cs="Inter"/>
          <w:sz w:val="24"/>
          <w:szCs w:val="24"/>
          <w:lang w:val="en-US"/>
        </w:rPr>
        <w:t xml:space="preserve"> Moreover, anti-corruption laws often criminalize both the giver and the receiver of a bribe. Applied to sexual corruption, </w:t>
      </w:r>
      <w:proofErr w:type="gramStart"/>
      <w:r w:rsidRPr="00FD0845">
        <w:rPr>
          <w:rFonts w:ascii="Inter" w:eastAsia="Inter" w:hAnsi="Inter" w:cs="Inter"/>
          <w:sz w:val="24"/>
          <w:szCs w:val="24"/>
          <w:lang w:val="en-US"/>
        </w:rPr>
        <w:t>this risks</w:t>
      </w:r>
      <w:proofErr w:type="gramEnd"/>
      <w:r w:rsidRPr="00FD0845">
        <w:rPr>
          <w:rFonts w:ascii="Inter" w:eastAsia="Inter" w:hAnsi="Inter" w:cs="Inter"/>
          <w:sz w:val="24"/>
          <w:szCs w:val="24"/>
          <w:lang w:val="en-US"/>
        </w:rPr>
        <w:t xml:space="preserve"> prosecuting the victims. Often, they comply under conditions of vulnerability and necessity, given the power disparity between the two parties. For instance, when acts are in exchange for food or medicine in a refugee camp, refusal is not viable. Although limited, national efforts to introduce and amend provisions on sexual corruption in anti-corruption laws show both progress and ongoing challenges.</w:t>
      </w:r>
      <w:r w:rsidRPr="00FD0845">
        <w:rPr>
          <w:rFonts w:ascii="Inter" w:eastAsia="Inter" w:hAnsi="Inter" w:cs="Inter"/>
          <w:sz w:val="24"/>
          <w:szCs w:val="24"/>
          <w:vertAlign w:val="superscript"/>
          <w:lang w:val="en-US"/>
        </w:rPr>
        <w:footnoteReference w:id="14"/>
      </w:r>
      <w:r w:rsidRPr="00FD0845">
        <w:rPr>
          <w:rFonts w:ascii="Inter" w:eastAsia="Inter" w:hAnsi="Inter" w:cs="Inter"/>
          <w:sz w:val="24"/>
          <w:szCs w:val="24"/>
          <w:lang w:val="en-US"/>
        </w:rPr>
        <w:t xml:space="preserve"> </w:t>
      </w:r>
    </w:p>
    <w:p w14:paraId="1F06FF92" w14:textId="77777777" w:rsidR="00041907" w:rsidRPr="00FD0845" w:rsidRDefault="00041907" w:rsidP="00041907">
      <w:pPr>
        <w:spacing w:after="0"/>
        <w:jc w:val="both"/>
        <w:rPr>
          <w:rFonts w:ascii="Inter" w:eastAsia="Inter" w:hAnsi="Inter" w:cs="Inter"/>
          <w:sz w:val="24"/>
          <w:szCs w:val="24"/>
          <w:lang w:val="en-US"/>
        </w:rPr>
      </w:pPr>
    </w:p>
    <w:p w14:paraId="47155CE2" w14:textId="53EC8789" w:rsidR="0071751D" w:rsidRPr="00FD0845" w:rsidRDefault="0071751D" w:rsidP="00041907">
      <w:pPr>
        <w:spacing w:after="0"/>
        <w:jc w:val="both"/>
        <w:rPr>
          <w:rFonts w:ascii="Inter" w:eastAsia="Inter" w:hAnsi="Inter" w:cs="Inter"/>
          <w:sz w:val="24"/>
          <w:szCs w:val="24"/>
          <w:lang w:val="en-US"/>
        </w:rPr>
      </w:pPr>
      <w:r w:rsidRPr="00FD0845">
        <w:rPr>
          <w:rFonts w:ascii="Inter" w:eastAsia="Inter" w:hAnsi="Inter" w:cs="Inter"/>
          <w:sz w:val="24"/>
          <w:szCs w:val="24"/>
          <w:lang w:val="en-US"/>
        </w:rPr>
        <w:t>Anti-GBV (gender-based violence) legislation, meanwhile, does not capture the corruption element in coerced sexual acts, allowing the abuse of power in such situations to go unpunished.</w:t>
      </w:r>
      <w:r w:rsidRPr="00FD0845">
        <w:rPr>
          <w:rFonts w:ascii="Inter" w:eastAsia="Inter" w:hAnsi="Inter" w:cs="Inter"/>
          <w:sz w:val="24"/>
          <w:szCs w:val="24"/>
          <w:vertAlign w:val="superscript"/>
          <w:lang w:val="en-US"/>
        </w:rPr>
        <w:footnoteReference w:id="15"/>
      </w:r>
      <w:r w:rsidRPr="00FD0845">
        <w:rPr>
          <w:rFonts w:ascii="Inter" w:eastAsia="Inter" w:hAnsi="Inter" w:cs="Inter"/>
          <w:sz w:val="24"/>
          <w:szCs w:val="24"/>
          <w:lang w:val="en-US"/>
        </w:rPr>
        <w:t xml:space="preserve"> Anti-discrimination or harassment laws are often limited to workplace or domestic contexts, leaving broader situations of sexual corruption unaddressed. In addition, </w:t>
      </w:r>
      <w:r w:rsidRPr="00FD0845">
        <w:rPr>
          <w:rFonts w:ascii="Inter" w:eastAsia="Inter" w:hAnsi="Inter" w:cs="Inter"/>
          <w:sz w:val="24"/>
          <w:szCs w:val="24"/>
          <w:lang w:val="en-US"/>
        </w:rPr>
        <w:lastRenderedPageBreak/>
        <w:t>some States Parties adopt provisions solely focusing on women as victims, yet men, boys</w:t>
      </w:r>
      <w:r w:rsidR="00606825" w:rsidRPr="00FD0845">
        <w:rPr>
          <w:rFonts w:ascii="Inter" w:eastAsia="Inter" w:hAnsi="Inter" w:cs="Inter"/>
          <w:sz w:val="24"/>
          <w:szCs w:val="24"/>
          <w:lang w:val="en-US"/>
        </w:rPr>
        <w:t>,</w:t>
      </w:r>
      <w:r w:rsidRPr="00FD0845">
        <w:rPr>
          <w:rFonts w:ascii="Inter" w:eastAsia="Inter" w:hAnsi="Inter" w:cs="Inter"/>
          <w:sz w:val="24"/>
          <w:szCs w:val="24"/>
          <w:lang w:val="en-US"/>
        </w:rPr>
        <w:t xml:space="preserve"> and LGBTQI+ persons are also targets of sexual corruption, and this exclusion reinforces underreporting.</w:t>
      </w:r>
      <w:r w:rsidRPr="00FD0845">
        <w:rPr>
          <w:rFonts w:ascii="Inter" w:eastAsia="Inter" w:hAnsi="Inter" w:cs="Inter"/>
          <w:sz w:val="24"/>
          <w:szCs w:val="24"/>
          <w:vertAlign w:val="superscript"/>
          <w:lang w:val="en-US"/>
        </w:rPr>
        <w:footnoteReference w:id="16"/>
      </w:r>
      <w:r w:rsidRPr="00FD0845">
        <w:rPr>
          <w:rFonts w:ascii="Inter" w:eastAsia="Inter" w:hAnsi="Inter" w:cs="Inter"/>
          <w:sz w:val="24"/>
          <w:szCs w:val="24"/>
          <w:lang w:val="en-US"/>
        </w:rPr>
        <w:t xml:space="preserve"> Beyond such legislative gaps, once reported, victims often face stigma, the fear of retaliation, and the absence of safe and accessible reporting pathways. Given the physical and socio-cultural dimensions attached to sexual corruption, reporting without victim-centered mechanisms risks revictimization.</w:t>
      </w:r>
      <w:r w:rsidRPr="00FD0845">
        <w:rPr>
          <w:rFonts w:ascii="Inter" w:eastAsia="Inter" w:hAnsi="Inter" w:cs="Inter"/>
          <w:sz w:val="24"/>
          <w:szCs w:val="24"/>
          <w:vertAlign w:val="superscript"/>
          <w:lang w:val="en-US"/>
        </w:rPr>
        <w:footnoteReference w:id="17"/>
      </w:r>
      <w:r w:rsidRPr="00FD0845">
        <w:rPr>
          <w:rFonts w:ascii="Inter" w:eastAsia="Inter" w:hAnsi="Inter" w:cs="Inter"/>
          <w:sz w:val="24"/>
          <w:szCs w:val="24"/>
          <w:lang w:val="en-US"/>
        </w:rPr>
        <w:t xml:space="preserve"> These barriers undermine disclosure of such incidents and, consequently, the objectives of the Resolution.</w:t>
      </w:r>
      <w:r w:rsidRPr="00FD0845">
        <w:rPr>
          <w:rFonts w:ascii="Inter" w:eastAsia="Inter" w:hAnsi="Inter" w:cs="Inter"/>
          <w:sz w:val="24"/>
          <w:szCs w:val="24"/>
          <w:vertAlign w:val="superscript"/>
          <w:lang w:val="en-US"/>
        </w:rPr>
        <w:footnoteReference w:id="18"/>
      </w:r>
    </w:p>
    <w:p w14:paraId="16F00674" w14:textId="77777777" w:rsidR="00041907" w:rsidRPr="00FD0845" w:rsidRDefault="00041907" w:rsidP="00041907">
      <w:pPr>
        <w:spacing w:after="0"/>
        <w:jc w:val="both"/>
        <w:rPr>
          <w:rFonts w:ascii="Inter" w:eastAsia="Inter" w:hAnsi="Inter" w:cs="Inter"/>
          <w:sz w:val="24"/>
          <w:szCs w:val="24"/>
          <w:lang w:val="en-US"/>
        </w:rPr>
      </w:pPr>
    </w:p>
    <w:p w14:paraId="21163C78" w14:textId="3947031D" w:rsidR="0071751D" w:rsidRPr="00FD0845" w:rsidRDefault="0071751D" w:rsidP="00041907">
      <w:pPr>
        <w:spacing w:after="0"/>
        <w:jc w:val="both"/>
        <w:rPr>
          <w:rFonts w:ascii="Inter" w:eastAsia="Inter" w:hAnsi="Inter" w:cs="Inter"/>
          <w:sz w:val="24"/>
          <w:szCs w:val="24"/>
          <w:lang w:val="en-US"/>
        </w:rPr>
      </w:pPr>
      <w:r w:rsidRPr="00FD0845">
        <w:rPr>
          <w:rFonts w:ascii="Inter" w:eastAsia="Inter" w:hAnsi="Inter" w:cs="Inter"/>
          <w:sz w:val="24"/>
          <w:szCs w:val="24"/>
          <w:lang w:val="en-US"/>
        </w:rPr>
        <w:t xml:space="preserve">While appreciating the substantial step forward by Resolution 10/10, we submit that the efforts of States Parties to raise awareness and strengthen preventive and prosecutorial measures need to address these challenging domestic realities. The UNCAC Coalition’s Working Group on </w:t>
      </w:r>
      <w:r w:rsidRPr="00FD0845">
        <w:rPr>
          <w:rFonts w:ascii="Inter" w:eastAsia="Inter" w:hAnsi="Inter" w:cs="Inter"/>
          <w:i/>
          <w:iCs/>
          <w:sz w:val="24"/>
          <w:szCs w:val="24"/>
          <w:lang w:val="en-US"/>
        </w:rPr>
        <w:t>Gender, Inclusion and Corruption</w:t>
      </w:r>
      <w:r w:rsidRPr="00FD0845">
        <w:rPr>
          <w:rFonts w:ascii="Inter" w:eastAsia="Inter" w:hAnsi="Inter" w:cs="Inter"/>
          <w:sz w:val="24"/>
          <w:szCs w:val="24"/>
          <w:lang w:val="en-US"/>
        </w:rPr>
        <w:t xml:space="preserve"> is a global collective of civil society organisations and individuals, including academics, researchers, policy advisers, and grassroots mobilisers, who work together to promote a gender-responsive and inclusive approach to address sexual corruption. Therefore, building on Resolution 10/10 and based on existing studies, experiences and consultations, the Working Group proposes the following recommendations to States Parties to prevent, address and respond to sexual corruption. </w:t>
      </w:r>
    </w:p>
    <w:p w14:paraId="0FEEC76F" w14:textId="77777777" w:rsidR="00041907" w:rsidRPr="00FD0845" w:rsidRDefault="00041907" w:rsidP="00041907">
      <w:pPr>
        <w:spacing w:after="0"/>
        <w:jc w:val="both"/>
        <w:rPr>
          <w:rFonts w:ascii="Inter" w:eastAsia="Inter" w:hAnsi="Inter" w:cs="Inter"/>
          <w:sz w:val="24"/>
          <w:szCs w:val="24"/>
          <w:lang w:val="en-US"/>
        </w:rPr>
      </w:pPr>
    </w:p>
    <w:p w14:paraId="7D9FFB54" w14:textId="57F268A8" w:rsidR="0071751D" w:rsidRPr="00FD0845" w:rsidRDefault="0071751D" w:rsidP="00041907">
      <w:pPr>
        <w:pStyle w:val="Heading2"/>
        <w:numPr>
          <w:ilvl w:val="0"/>
          <w:numId w:val="38"/>
        </w:numPr>
        <w:spacing w:before="0" w:after="0"/>
        <w:rPr>
          <w:bCs/>
          <w:color w:val="000000" w:themeColor="text1"/>
          <w:sz w:val="26"/>
          <w:szCs w:val="26"/>
          <w:lang w:val="en-US"/>
        </w:rPr>
      </w:pPr>
      <w:r w:rsidRPr="00FD0845">
        <w:rPr>
          <w:bCs/>
          <w:color w:val="000000" w:themeColor="text1"/>
          <w:sz w:val="26"/>
          <w:szCs w:val="26"/>
          <w:lang w:val="en-US"/>
        </w:rPr>
        <w:lastRenderedPageBreak/>
        <w:t xml:space="preserve">Understanding the concept: develop a common understanding with a precise and inclusive definition </w:t>
      </w:r>
    </w:p>
    <w:p w14:paraId="3680CD08" w14:textId="1B00BD7C" w:rsidR="009357FA" w:rsidRPr="00FD0845" w:rsidRDefault="00041907" w:rsidP="009357FA">
      <w:pPr>
        <w:pStyle w:val="ListParagraph"/>
        <w:numPr>
          <w:ilvl w:val="1"/>
          <w:numId w:val="41"/>
        </w:numPr>
        <w:spacing w:before="240" w:after="0"/>
        <w:jc w:val="both"/>
        <w:rPr>
          <w:rFonts w:ascii="Inter" w:eastAsia="Inter" w:hAnsi="Inter" w:cs="Inter"/>
          <w:sz w:val="24"/>
          <w:szCs w:val="24"/>
          <w:lang w:val="en-US"/>
        </w:rPr>
      </w:pPr>
      <w:r w:rsidRPr="00FD0845">
        <w:rPr>
          <w:rFonts w:ascii="Inter" w:eastAsia="Inter" w:hAnsi="Inter" w:cs="Inter"/>
          <w:b/>
          <w:bCs/>
          <w:sz w:val="24"/>
          <w:szCs w:val="24"/>
          <w:lang w:val="en-US"/>
        </w:rPr>
        <w:t>Promote</w:t>
      </w:r>
      <w:r w:rsidR="0071751D" w:rsidRPr="00FD0845">
        <w:rPr>
          <w:rFonts w:ascii="Inter" w:eastAsia="Inter" w:hAnsi="Inter" w:cs="Inter"/>
          <w:b/>
          <w:bCs/>
          <w:sz w:val="24"/>
          <w:szCs w:val="24"/>
          <w:lang w:val="en-US"/>
        </w:rPr>
        <w:t xml:space="preserve"> a clear and inclusive definition of sexual corruption </w:t>
      </w:r>
      <w:r w:rsidR="0071751D" w:rsidRPr="00FD0845">
        <w:rPr>
          <w:rFonts w:ascii="Inter" w:eastAsia="Inter" w:hAnsi="Inter" w:cs="Inter"/>
          <w:sz w:val="24"/>
          <w:szCs w:val="24"/>
          <w:lang w:val="en-US"/>
        </w:rPr>
        <w:t>that centers responsibility on the abuse of entrusted authority.</w:t>
      </w:r>
      <w:r w:rsidR="0071751D" w:rsidRPr="00FD0845">
        <w:rPr>
          <w:sz w:val="24"/>
          <w:szCs w:val="24"/>
          <w:vertAlign w:val="superscript"/>
          <w:lang w:val="en-US"/>
        </w:rPr>
        <w:footnoteReference w:id="19"/>
      </w:r>
      <w:r w:rsidR="0071751D" w:rsidRPr="00FD0845">
        <w:rPr>
          <w:rFonts w:ascii="Inter" w:eastAsia="Inter" w:hAnsi="Inter" w:cs="Inter"/>
          <w:sz w:val="24"/>
          <w:szCs w:val="24"/>
          <w:lang w:val="en-US"/>
        </w:rPr>
        <w:t xml:space="preserve"> While the process may be challenging,</w:t>
      </w:r>
      <w:r w:rsidR="0071751D" w:rsidRPr="00FD0845">
        <w:rPr>
          <w:sz w:val="24"/>
          <w:szCs w:val="24"/>
          <w:vertAlign w:val="superscript"/>
          <w:lang w:val="en-US"/>
        </w:rPr>
        <w:footnoteReference w:id="20"/>
      </w:r>
      <w:r w:rsidR="0071751D" w:rsidRPr="00FD0845">
        <w:rPr>
          <w:rFonts w:ascii="Inter" w:eastAsia="Inter" w:hAnsi="Inter" w:cs="Inter"/>
          <w:sz w:val="24"/>
          <w:szCs w:val="24"/>
          <w:lang w:val="en-US"/>
        </w:rPr>
        <w:t xml:space="preserve"> such a definition ensures legal clarity, prevents further victimization, and enables effective preventive and prosecutorial measures. </w:t>
      </w:r>
    </w:p>
    <w:p w14:paraId="5FA6ECAE" w14:textId="77777777" w:rsidR="009357FA" w:rsidRPr="00FD0845" w:rsidRDefault="009357FA" w:rsidP="009357FA">
      <w:pPr>
        <w:pStyle w:val="ListParagraph"/>
        <w:spacing w:before="240" w:after="0"/>
        <w:ind w:left="360"/>
        <w:jc w:val="both"/>
        <w:rPr>
          <w:rFonts w:ascii="Inter" w:eastAsia="Inter" w:hAnsi="Inter" w:cs="Inter"/>
          <w:sz w:val="24"/>
          <w:szCs w:val="24"/>
          <w:lang w:val="en-US"/>
        </w:rPr>
      </w:pPr>
    </w:p>
    <w:p w14:paraId="588F5067" w14:textId="547F1BA2" w:rsidR="0071751D" w:rsidRPr="00FD0845" w:rsidRDefault="0071751D" w:rsidP="00041907">
      <w:pPr>
        <w:spacing w:after="0"/>
        <w:jc w:val="both"/>
        <w:rPr>
          <w:rFonts w:ascii="Inter" w:eastAsia="Inter" w:hAnsi="Inter" w:cs="Inter"/>
          <w:sz w:val="24"/>
          <w:szCs w:val="24"/>
          <w:lang w:val="en-US"/>
        </w:rPr>
      </w:pPr>
      <w:r w:rsidRPr="00FD0845">
        <w:rPr>
          <w:rFonts w:ascii="Inter" w:eastAsia="Inter" w:hAnsi="Inter" w:cs="Inter"/>
          <w:b/>
          <w:bCs/>
          <w:sz w:val="24"/>
          <w:szCs w:val="24"/>
          <w:lang w:val="en-US"/>
        </w:rPr>
        <w:t>1.2 Complement the definition with systematic data collection</w:t>
      </w:r>
      <w:r w:rsidRPr="00FD0845">
        <w:rPr>
          <w:rFonts w:ascii="Inter" w:eastAsia="Inter" w:hAnsi="Inter" w:cs="Inter"/>
          <w:sz w:val="24"/>
          <w:szCs w:val="24"/>
          <w:lang w:val="en-US"/>
        </w:rPr>
        <w:t>, by gathering gender-, age-, sector-, and other demographic-disaggregated data,  including origin, ethnic background, and nationality, on perceptions and experiences of sexual corruption, to capture dimensions such as migration status, human trafficking, and racism, and to assess the impact on different segments such as women, girls, women with disabilities and LGBTQI+ persons.</w:t>
      </w:r>
      <w:r w:rsidRPr="00FD0845">
        <w:rPr>
          <w:rFonts w:ascii="Inter" w:eastAsia="Inter" w:hAnsi="Inter" w:cs="Inter"/>
          <w:sz w:val="24"/>
          <w:szCs w:val="24"/>
          <w:vertAlign w:val="superscript"/>
          <w:lang w:val="en-US"/>
        </w:rPr>
        <w:footnoteReference w:id="21"/>
      </w:r>
      <w:r w:rsidRPr="00FD0845">
        <w:rPr>
          <w:rFonts w:ascii="Inter" w:eastAsia="Inter" w:hAnsi="Inter" w:cs="Inter"/>
          <w:sz w:val="24"/>
          <w:szCs w:val="24"/>
          <w:lang w:val="en-US"/>
        </w:rPr>
        <w:t xml:space="preserve"> Such data should be shared among States Parties to inform national policies, refine common understanding and strengthen global cooperation in addressing sexual corruption.</w:t>
      </w:r>
      <w:r w:rsidRPr="00FD0845">
        <w:rPr>
          <w:rFonts w:ascii="Inter" w:eastAsia="Inter" w:hAnsi="Inter" w:cs="Inter"/>
          <w:sz w:val="24"/>
          <w:szCs w:val="24"/>
          <w:vertAlign w:val="superscript"/>
          <w:lang w:val="en-US"/>
        </w:rPr>
        <w:footnoteReference w:id="22"/>
      </w:r>
      <w:r w:rsidRPr="00FD0845">
        <w:rPr>
          <w:rFonts w:ascii="Inter" w:eastAsia="Inter" w:hAnsi="Inter" w:cs="Inter"/>
          <w:sz w:val="24"/>
          <w:szCs w:val="24"/>
          <w:lang w:val="en-US"/>
        </w:rPr>
        <w:t xml:space="preserve"> </w:t>
      </w:r>
    </w:p>
    <w:p w14:paraId="7CDC1AE0" w14:textId="77777777" w:rsidR="00041907" w:rsidRPr="00FD0845" w:rsidRDefault="00041907" w:rsidP="00041907">
      <w:pPr>
        <w:spacing w:after="0"/>
        <w:jc w:val="both"/>
        <w:rPr>
          <w:rFonts w:ascii="Inter" w:eastAsia="Inter" w:hAnsi="Inter" w:cs="Inter"/>
          <w:sz w:val="24"/>
          <w:szCs w:val="24"/>
          <w:lang w:val="en-US"/>
        </w:rPr>
      </w:pPr>
    </w:p>
    <w:p w14:paraId="7D108286" w14:textId="41937326" w:rsidR="0071751D" w:rsidRPr="00FD0845" w:rsidRDefault="0071751D" w:rsidP="00041907">
      <w:pPr>
        <w:spacing w:after="0"/>
        <w:jc w:val="both"/>
        <w:rPr>
          <w:rFonts w:ascii="Inter" w:eastAsia="Inter" w:hAnsi="Inter" w:cs="Inter"/>
          <w:sz w:val="24"/>
          <w:szCs w:val="24"/>
          <w:lang w:val="en-US"/>
        </w:rPr>
      </w:pPr>
      <w:r w:rsidRPr="00FD0845">
        <w:rPr>
          <w:rFonts w:ascii="Inter" w:eastAsia="Inter" w:hAnsi="Inter" w:cs="Inter"/>
          <w:b/>
          <w:bCs/>
          <w:sz w:val="24"/>
          <w:szCs w:val="24"/>
          <w:lang w:val="en-US"/>
        </w:rPr>
        <w:t xml:space="preserve">1.3 Request UNODC to convene an expert Working Group </w:t>
      </w:r>
      <w:r w:rsidRPr="00FD0845">
        <w:rPr>
          <w:rFonts w:ascii="Inter" w:eastAsia="Inter" w:hAnsi="Inter" w:cs="Inter"/>
          <w:sz w:val="24"/>
          <w:szCs w:val="24"/>
          <w:lang w:val="en-US"/>
        </w:rPr>
        <w:t>of legal practitioners, academics, civil society and UN partners to provide States Parties with technical assistance in formulating the definition and contextualized legal provisions.</w:t>
      </w:r>
      <w:r w:rsidRPr="00FD0845">
        <w:rPr>
          <w:rFonts w:ascii="Inter" w:eastAsia="Inter" w:hAnsi="Inter" w:cs="Inter"/>
          <w:sz w:val="24"/>
          <w:szCs w:val="24"/>
          <w:vertAlign w:val="superscript"/>
          <w:lang w:val="en-US"/>
        </w:rPr>
        <w:footnoteReference w:id="23"/>
      </w:r>
    </w:p>
    <w:p w14:paraId="00533683" w14:textId="5861402C" w:rsidR="0071751D" w:rsidRPr="00FD0845" w:rsidRDefault="0071751D" w:rsidP="00041907">
      <w:pPr>
        <w:pStyle w:val="Heading2"/>
        <w:numPr>
          <w:ilvl w:val="0"/>
          <w:numId w:val="38"/>
        </w:numPr>
        <w:spacing w:after="0"/>
        <w:rPr>
          <w:bCs/>
          <w:color w:val="000000" w:themeColor="text1"/>
          <w:sz w:val="26"/>
          <w:szCs w:val="26"/>
          <w:lang w:val="en-US"/>
        </w:rPr>
      </w:pPr>
      <w:r w:rsidRPr="00FD0845">
        <w:rPr>
          <w:bCs/>
          <w:color w:val="000000" w:themeColor="text1"/>
          <w:sz w:val="26"/>
          <w:szCs w:val="26"/>
          <w:lang w:val="en-US"/>
        </w:rPr>
        <w:lastRenderedPageBreak/>
        <w:t xml:space="preserve"> Preventive measures</w:t>
      </w:r>
    </w:p>
    <w:p w14:paraId="5E1FB197" w14:textId="0A8AED76" w:rsidR="00041907" w:rsidRPr="00FD0845" w:rsidRDefault="0071751D" w:rsidP="00041907">
      <w:pPr>
        <w:spacing w:before="240" w:after="0"/>
        <w:jc w:val="both"/>
        <w:rPr>
          <w:rFonts w:ascii="Inter" w:eastAsia="Inter" w:hAnsi="Inter" w:cs="Inter"/>
          <w:sz w:val="24"/>
          <w:szCs w:val="24"/>
          <w:lang w:val="en-US"/>
        </w:rPr>
      </w:pPr>
      <w:r w:rsidRPr="00FD0845">
        <w:rPr>
          <w:rFonts w:ascii="Inter" w:eastAsia="Inter" w:hAnsi="Inter" w:cs="Inter"/>
          <w:b/>
          <w:bCs/>
          <w:sz w:val="24"/>
          <w:szCs w:val="24"/>
          <w:lang w:val="en-US"/>
        </w:rPr>
        <w:t>2.1 Prioritise prevention as the foundation of addressing sexual corruption</w:t>
      </w:r>
      <w:r w:rsidRPr="00FD0845">
        <w:rPr>
          <w:rFonts w:ascii="Inter" w:eastAsia="Inter" w:hAnsi="Inter" w:cs="Inter"/>
          <w:sz w:val="24"/>
          <w:szCs w:val="24"/>
          <w:lang w:val="en-US"/>
        </w:rPr>
        <w:t>, recognizing that effective prevention reduces both incidence and harm. Emphasize that effective preventive work against sexual corruption requires a broad commitment, including all groups of men, women and LGBTQI+ persons.</w:t>
      </w:r>
    </w:p>
    <w:p w14:paraId="211BE365" w14:textId="77777777" w:rsidR="00041907" w:rsidRPr="00FD0845" w:rsidRDefault="00041907" w:rsidP="00041907">
      <w:pPr>
        <w:spacing w:after="0"/>
        <w:jc w:val="both"/>
        <w:rPr>
          <w:rFonts w:ascii="Inter" w:eastAsia="Inter" w:hAnsi="Inter" w:cs="Inter"/>
          <w:b/>
          <w:bCs/>
          <w:sz w:val="24"/>
          <w:szCs w:val="24"/>
          <w:lang w:val="en-US"/>
        </w:rPr>
      </w:pPr>
    </w:p>
    <w:p w14:paraId="1BCFE149" w14:textId="0EC4707B" w:rsidR="0071751D" w:rsidRPr="00FD0845" w:rsidRDefault="0071751D" w:rsidP="00041907">
      <w:pPr>
        <w:spacing w:after="0"/>
        <w:jc w:val="both"/>
        <w:rPr>
          <w:rFonts w:ascii="Inter" w:eastAsia="Inter" w:hAnsi="Inter" w:cs="Inter"/>
          <w:sz w:val="24"/>
          <w:szCs w:val="24"/>
          <w:lang w:val="en-US"/>
        </w:rPr>
      </w:pPr>
      <w:r w:rsidRPr="00FD0845">
        <w:rPr>
          <w:rFonts w:ascii="Inter" w:eastAsia="Inter" w:hAnsi="Inter" w:cs="Inter"/>
          <w:b/>
          <w:bCs/>
          <w:sz w:val="24"/>
          <w:szCs w:val="24"/>
          <w:lang w:val="en-US"/>
        </w:rPr>
        <w:t>2.2 Conduct sector-specific risk assessments</w:t>
      </w:r>
      <w:r w:rsidRPr="00FD0845">
        <w:rPr>
          <w:rFonts w:ascii="Inter" w:eastAsia="Inter" w:hAnsi="Inter" w:cs="Inter"/>
          <w:sz w:val="24"/>
          <w:szCs w:val="24"/>
          <w:lang w:val="en-US"/>
        </w:rPr>
        <w:t xml:space="preserve"> to identify sexual corruption risk vulnerabilities and design targeted preventive strategies.</w:t>
      </w:r>
    </w:p>
    <w:p w14:paraId="5B55381B" w14:textId="77777777" w:rsidR="00041907" w:rsidRPr="00FD0845" w:rsidRDefault="00041907" w:rsidP="00041907">
      <w:pPr>
        <w:spacing w:after="0"/>
        <w:jc w:val="both"/>
        <w:rPr>
          <w:rFonts w:ascii="Inter" w:eastAsia="Inter" w:hAnsi="Inter" w:cs="Inter"/>
          <w:b/>
          <w:bCs/>
          <w:sz w:val="24"/>
          <w:szCs w:val="24"/>
          <w:lang w:val="en-US"/>
        </w:rPr>
      </w:pPr>
    </w:p>
    <w:p w14:paraId="2618C83D" w14:textId="47C1A676" w:rsidR="0071751D" w:rsidRPr="00FD0845" w:rsidRDefault="0071751D" w:rsidP="00041907">
      <w:pPr>
        <w:spacing w:after="0"/>
        <w:jc w:val="both"/>
        <w:rPr>
          <w:rFonts w:ascii="Inter" w:eastAsia="Inter" w:hAnsi="Inter" w:cs="Inter"/>
          <w:sz w:val="24"/>
          <w:szCs w:val="24"/>
          <w:lang w:val="en-US"/>
        </w:rPr>
      </w:pPr>
      <w:r w:rsidRPr="00FD0845">
        <w:rPr>
          <w:rFonts w:ascii="Inter" w:eastAsia="Inter" w:hAnsi="Inter" w:cs="Inter"/>
          <w:b/>
          <w:bCs/>
          <w:sz w:val="24"/>
          <w:szCs w:val="24"/>
          <w:lang w:val="en-US"/>
        </w:rPr>
        <w:t>2.3 Extend training and awareness initiatives</w:t>
      </w:r>
      <w:r w:rsidRPr="00FD0845">
        <w:rPr>
          <w:rFonts w:ascii="Inter" w:eastAsia="Inter" w:hAnsi="Inter" w:cs="Inter"/>
          <w:sz w:val="24"/>
          <w:szCs w:val="24"/>
          <w:lang w:val="en-US"/>
        </w:rPr>
        <w:t xml:space="preserve"> </w:t>
      </w:r>
      <w:r w:rsidRPr="00FD0845">
        <w:rPr>
          <w:rFonts w:ascii="Inter" w:eastAsia="Inter" w:hAnsi="Inter" w:cs="Inter"/>
          <w:b/>
          <w:bCs/>
          <w:sz w:val="24"/>
          <w:szCs w:val="24"/>
          <w:lang w:val="en-US"/>
        </w:rPr>
        <w:t xml:space="preserve">to public officials and employees in high-risk sectors </w:t>
      </w:r>
      <w:r w:rsidRPr="00FD0845">
        <w:rPr>
          <w:rFonts w:ascii="Inter" w:eastAsia="Inter" w:hAnsi="Inter" w:cs="Inter"/>
          <w:sz w:val="24"/>
          <w:szCs w:val="24"/>
          <w:lang w:val="en-US"/>
        </w:rPr>
        <w:t xml:space="preserve">identified domestically (such as education, judiciary, and the police), emphasizing the ethical and legal consequences of sexual corruption. Such programs should not be limited to people at risk of being affected, but also target individuals in positions of entrusted authority and power - including those in supervisory or oversight roles - and others who can take action or serve as whistleblowers. </w:t>
      </w:r>
    </w:p>
    <w:p w14:paraId="6D1F5821" w14:textId="77777777" w:rsidR="00041907" w:rsidRPr="00FD0845" w:rsidRDefault="00041907" w:rsidP="00041907">
      <w:pPr>
        <w:spacing w:after="0"/>
        <w:jc w:val="both"/>
        <w:rPr>
          <w:rFonts w:ascii="Inter" w:eastAsia="Inter" w:hAnsi="Inter" w:cs="Inter"/>
          <w:sz w:val="24"/>
          <w:szCs w:val="24"/>
          <w:lang w:val="en-US"/>
        </w:rPr>
      </w:pPr>
    </w:p>
    <w:p w14:paraId="1F1B0ADE" w14:textId="6B1BE53D" w:rsidR="0071751D" w:rsidRPr="00FD0845" w:rsidRDefault="0071751D" w:rsidP="00041907">
      <w:pPr>
        <w:spacing w:after="0"/>
        <w:jc w:val="both"/>
        <w:rPr>
          <w:rFonts w:ascii="Inter" w:eastAsia="Inter" w:hAnsi="Inter" w:cs="Inter"/>
          <w:sz w:val="24"/>
          <w:szCs w:val="24"/>
          <w:lang w:val="en-US"/>
        </w:rPr>
      </w:pPr>
      <w:r w:rsidRPr="00FD0845">
        <w:rPr>
          <w:rFonts w:ascii="Inter" w:eastAsia="Inter" w:hAnsi="Inter" w:cs="Inter"/>
          <w:b/>
          <w:bCs/>
          <w:sz w:val="24"/>
          <w:szCs w:val="24"/>
          <w:lang w:val="en-US"/>
        </w:rPr>
        <w:t xml:space="preserve">2.4 Strengthen institutional safeguards, </w:t>
      </w:r>
      <w:r w:rsidRPr="00FD0845">
        <w:rPr>
          <w:rFonts w:ascii="Inter" w:eastAsia="Inter" w:hAnsi="Inter" w:cs="Inter"/>
          <w:sz w:val="24"/>
          <w:szCs w:val="24"/>
          <w:lang w:val="en-US"/>
        </w:rPr>
        <w:t xml:space="preserve">including independent oversight bodies, transparent procedures, clear reporting channels and effective redress mechanisms. </w:t>
      </w:r>
    </w:p>
    <w:p w14:paraId="0F566263" w14:textId="77777777" w:rsidR="00041907" w:rsidRPr="00FD0845" w:rsidRDefault="00041907" w:rsidP="00041907">
      <w:pPr>
        <w:spacing w:after="0"/>
        <w:jc w:val="both"/>
        <w:rPr>
          <w:rFonts w:ascii="Inter" w:eastAsia="Inter" w:hAnsi="Inter" w:cs="Inter"/>
          <w:sz w:val="24"/>
          <w:szCs w:val="24"/>
          <w:lang w:val="en-US"/>
        </w:rPr>
      </w:pPr>
    </w:p>
    <w:p w14:paraId="2B2DD5E1" w14:textId="28365657" w:rsidR="0071751D" w:rsidRPr="00FD0845" w:rsidRDefault="0071751D" w:rsidP="00041907">
      <w:pPr>
        <w:spacing w:after="0"/>
        <w:jc w:val="both"/>
        <w:rPr>
          <w:rFonts w:ascii="Inter" w:eastAsia="Inter" w:hAnsi="Inter" w:cs="Inter"/>
          <w:sz w:val="24"/>
          <w:szCs w:val="24"/>
          <w:lang w:val="en-US"/>
        </w:rPr>
      </w:pPr>
      <w:r w:rsidRPr="00FD0845">
        <w:rPr>
          <w:rFonts w:ascii="Inter" w:eastAsia="Inter" w:hAnsi="Inter" w:cs="Inter"/>
          <w:b/>
          <w:bCs/>
          <w:sz w:val="24"/>
          <w:szCs w:val="24"/>
          <w:lang w:val="en-US"/>
        </w:rPr>
        <w:t>2.5 Raising public awareness about sexual corruption</w:t>
      </w:r>
      <w:r w:rsidRPr="00FD0845">
        <w:rPr>
          <w:rFonts w:ascii="Inter" w:eastAsia="Inter" w:hAnsi="Inter" w:cs="Inter"/>
          <w:sz w:val="24"/>
          <w:szCs w:val="24"/>
          <w:lang w:val="en-US"/>
        </w:rPr>
        <w:t xml:space="preserve"> to shift public perceptions, recognizing perpetrator behavior as predatory instead of acceptable, and understanding victims as victimized instead of opportunistic.</w:t>
      </w:r>
    </w:p>
    <w:p w14:paraId="275189D2" w14:textId="77777777" w:rsidR="00041907" w:rsidRPr="00FD0845" w:rsidRDefault="00041907" w:rsidP="00041907">
      <w:pPr>
        <w:spacing w:after="0"/>
        <w:jc w:val="both"/>
        <w:rPr>
          <w:rFonts w:ascii="Inter" w:eastAsia="Inter" w:hAnsi="Inter" w:cs="Inter"/>
          <w:sz w:val="24"/>
          <w:szCs w:val="24"/>
          <w:lang w:val="en-US"/>
        </w:rPr>
      </w:pPr>
    </w:p>
    <w:p w14:paraId="08C05842" w14:textId="1309F80F" w:rsidR="0071751D" w:rsidRPr="00FD0845" w:rsidRDefault="0071751D" w:rsidP="00041907">
      <w:pPr>
        <w:pStyle w:val="ListParagraph"/>
        <w:numPr>
          <w:ilvl w:val="0"/>
          <w:numId w:val="38"/>
        </w:numPr>
        <w:spacing w:after="0"/>
        <w:jc w:val="both"/>
        <w:rPr>
          <w:rFonts w:eastAsia="Inter" w:cs="Inter"/>
          <w:b/>
          <w:bCs/>
          <w:color w:val="000000" w:themeColor="text1"/>
          <w:sz w:val="26"/>
          <w:szCs w:val="26"/>
          <w:lang w:val="en-US"/>
        </w:rPr>
      </w:pPr>
      <w:r w:rsidRPr="00FD0845">
        <w:rPr>
          <w:b/>
          <w:bCs/>
          <w:color w:val="000000" w:themeColor="text1"/>
          <w:sz w:val="26"/>
          <w:szCs w:val="26"/>
          <w:lang w:val="en-US"/>
        </w:rPr>
        <w:t>Policy and legislation: expedite closing gaps in domestic legislation</w:t>
      </w:r>
    </w:p>
    <w:p w14:paraId="684A3849" w14:textId="76770CA1" w:rsidR="002043B9" w:rsidRDefault="0071751D" w:rsidP="002043B9">
      <w:pPr>
        <w:spacing w:before="240" w:after="0"/>
        <w:jc w:val="both"/>
        <w:rPr>
          <w:rFonts w:ascii="Inter" w:eastAsia="Inter" w:hAnsi="Inter" w:cs="Inter"/>
          <w:sz w:val="24"/>
          <w:szCs w:val="24"/>
          <w:lang w:val="en-US"/>
        </w:rPr>
      </w:pPr>
      <w:r w:rsidRPr="00FD0845">
        <w:rPr>
          <w:rFonts w:ascii="Inter" w:eastAsia="Inter" w:hAnsi="Inter" w:cs="Inter"/>
          <w:b/>
          <w:bCs/>
          <w:sz w:val="24"/>
          <w:szCs w:val="24"/>
          <w:lang w:val="en-US"/>
        </w:rPr>
        <w:t>3.1 Promote immediate recognition of sexual corruption in institutional practice</w:t>
      </w:r>
      <w:r w:rsidRPr="00FD0845">
        <w:rPr>
          <w:rFonts w:ascii="Inter" w:eastAsia="Inter" w:hAnsi="Inter" w:cs="Inter"/>
          <w:sz w:val="24"/>
          <w:szCs w:val="24"/>
          <w:lang w:val="en-US"/>
        </w:rPr>
        <w:t xml:space="preserve"> by integrating it into professional codes of conduct, ethical guidelines and conflict of interest regulations in both public and private sectors.</w:t>
      </w:r>
      <w:r w:rsidRPr="00FD0845">
        <w:rPr>
          <w:rFonts w:ascii="Inter" w:eastAsia="Inter" w:hAnsi="Inter" w:cs="Inter"/>
          <w:sz w:val="24"/>
          <w:szCs w:val="24"/>
          <w:vertAlign w:val="superscript"/>
          <w:lang w:val="en-US"/>
        </w:rPr>
        <w:footnoteReference w:id="24"/>
      </w:r>
      <w:r w:rsidRPr="00FD0845">
        <w:rPr>
          <w:rFonts w:ascii="Inter" w:eastAsia="Inter" w:hAnsi="Inter" w:cs="Inter"/>
          <w:sz w:val="24"/>
          <w:szCs w:val="24"/>
          <w:lang w:val="en-US"/>
        </w:rPr>
        <w:t xml:space="preserve"> This ensures early deterrence and awareness even before legislation is in place.</w:t>
      </w:r>
    </w:p>
    <w:p w14:paraId="566D7BD3" w14:textId="77777777" w:rsidR="000F4014" w:rsidRPr="002043B9" w:rsidRDefault="000F4014" w:rsidP="002043B9">
      <w:pPr>
        <w:spacing w:before="240" w:after="0"/>
        <w:jc w:val="both"/>
        <w:rPr>
          <w:rFonts w:ascii="Inter" w:eastAsia="Inter" w:hAnsi="Inter" w:cs="Inter"/>
          <w:sz w:val="24"/>
          <w:szCs w:val="24"/>
          <w:lang w:val="en-US"/>
        </w:rPr>
      </w:pPr>
    </w:p>
    <w:p w14:paraId="7DE89BE3" w14:textId="5BE1E8B0" w:rsidR="0071751D" w:rsidRPr="00FD0845" w:rsidRDefault="0071751D" w:rsidP="00041907">
      <w:pPr>
        <w:spacing w:after="0"/>
        <w:jc w:val="both"/>
        <w:rPr>
          <w:rFonts w:ascii="Inter" w:eastAsia="Inter" w:hAnsi="Inter" w:cs="Inter"/>
          <w:sz w:val="24"/>
          <w:szCs w:val="24"/>
          <w:lang w:val="en-US"/>
        </w:rPr>
      </w:pPr>
      <w:r w:rsidRPr="00FD0845">
        <w:rPr>
          <w:rFonts w:ascii="Inter" w:eastAsia="Inter" w:hAnsi="Inter" w:cs="Inter"/>
          <w:b/>
          <w:bCs/>
          <w:sz w:val="24"/>
          <w:szCs w:val="24"/>
          <w:lang w:val="en-US"/>
        </w:rPr>
        <w:lastRenderedPageBreak/>
        <w:t>3.2</w:t>
      </w:r>
      <w:r w:rsidRPr="00FD0845">
        <w:rPr>
          <w:rFonts w:ascii="Inter" w:eastAsia="Inter" w:hAnsi="Inter" w:cs="Inter"/>
          <w:sz w:val="24"/>
          <w:szCs w:val="24"/>
          <w:lang w:val="en-US"/>
        </w:rPr>
        <w:t xml:space="preserve"> </w:t>
      </w:r>
      <w:r w:rsidRPr="00FD0845">
        <w:rPr>
          <w:rFonts w:ascii="Inter" w:eastAsia="Inter" w:hAnsi="Inter" w:cs="Inter"/>
          <w:b/>
          <w:bCs/>
          <w:sz w:val="24"/>
          <w:szCs w:val="24"/>
          <w:lang w:val="en-US"/>
        </w:rPr>
        <w:t>Explicitly recognize sexual corruption as a specific form of corruption</w:t>
      </w:r>
      <w:r w:rsidRPr="00FD0845">
        <w:rPr>
          <w:rFonts w:ascii="Inter" w:eastAsia="Inter" w:hAnsi="Inter" w:cs="Inter"/>
          <w:sz w:val="24"/>
          <w:szCs w:val="24"/>
          <w:lang w:val="en-US"/>
        </w:rPr>
        <w:t xml:space="preserve"> in legislation.</w:t>
      </w:r>
      <w:r w:rsidRPr="00FD0845">
        <w:rPr>
          <w:rFonts w:ascii="Inter" w:eastAsia="Inter" w:hAnsi="Inter" w:cs="Inter"/>
          <w:sz w:val="24"/>
          <w:szCs w:val="24"/>
          <w:vertAlign w:val="superscript"/>
          <w:lang w:val="en-US"/>
        </w:rPr>
        <w:footnoteReference w:id="25"/>
      </w:r>
      <w:r w:rsidRPr="00FD0845">
        <w:rPr>
          <w:rFonts w:ascii="Inter" w:eastAsia="Inter" w:hAnsi="Inter" w:cs="Inter"/>
          <w:sz w:val="24"/>
          <w:szCs w:val="24"/>
          <w:lang w:val="en-US"/>
        </w:rPr>
        <w:t xml:space="preserve"> Such criminalization creates deterrence and provides a legal basis to detect and punish sexual corruption.</w:t>
      </w:r>
      <w:r w:rsidRPr="00FD0845">
        <w:rPr>
          <w:rFonts w:ascii="Inter" w:eastAsia="Inter" w:hAnsi="Inter" w:cs="Inter"/>
          <w:sz w:val="24"/>
          <w:szCs w:val="24"/>
          <w:vertAlign w:val="superscript"/>
          <w:lang w:val="en-US"/>
        </w:rPr>
        <w:footnoteReference w:id="26"/>
      </w:r>
    </w:p>
    <w:p w14:paraId="3D1D9167" w14:textId="77777777" w:rsidR="00041907" w:rsidRPr="00FD0845" w:rsidRDefault="00041907" w:rsidP="00041907">
      <w:pPr>
        <w:spacing w:after="0"/>
        <w:jc w:val="both"/>
        <w:rPr>
          <w:rFonts w:ascii="Inter" w:eastAsia="Inter" w:hAnsi="Inter" w:cs="Inter"/>
          <w:sz w:val="24"/>
          <w:szCs w:val="24"/>
          <w:lang w:val="en-US"/>
        </w:rPr>
      </w:pPr>
    </w:p>
    <w:p w14:paraId="191C2090" w14:textId="1687E3E5" w:rsidR="0071751D" w:rsidRPr="00FD0845" w:rsidRDefault="0071751D" w:rsidP="00041907">
      <w:pPr>
        <w:spacing w:after="0"/>
        <w:jc w:val="both"/>
        <w:rPr>
          <w:rFonts w:ascii="Inter" w:eastAsia="Inter" w:hAnsi="Inter" w:cs="Inter"/>
          <w:sz w:val="24"/>
          <w:szCs w:val="24"/>
          <w:lang w:val="en-US"/>
        </w:rPr>
      </w:pPr>
      <w:r w:rsidRPr="00FD0845">
        <w:rPr>
          <w:rFonts w:ascii="Inter" w:eastAsia="Inter" w:hAnsi="Inter" w:cs="Inter"/>
          <w:b/>
          <w:bCs/>
          <w:sz w:val="24"/>
          <w:szCs w:val="24"/>
          <w:lang w:val="en-US"/>
        </w:rPr>
        <w:t xml:space="preserve">3.3 Ensure that victims are not criminalized as “givers” under the new or existing legal framework on sexual corruption. </w:t>
      </w:r>
      <w:r w:rsidRPr="00FD0845">
        <w:rPr>
          <w:rFonts w:ascii="Inter" w:eastAsia="Inter" w:hAnsi="Inter" w:cs="Inter"/>
          <w:sz w:val="24"/>
          <w:szCs w:val="24"/>
          <w:lang w:val="en-US"/>
        </w:rPr>
        <w:t xml:space="preserve">Notably, the practice of distinguishing between the bribe-giver and the bribe-taker in mitigating sanctions or even granting </w:t>
      </w:r>
      <w:r w:rsidR="00606825" w:rsidRPr="00FD0845">
        <w:rPr>
          <w:rFonts w:ascii="Inter" w:eastAsia="Inter" w:hAnsi="Inter" w:cs="Inter"/>
          <w:sz w:val="24"/>
          <w:szCs w:val="24"/>
          <w:lang w:val="en-US"/>
        </w:rPr>
        <w:t xml:space="preserve">an </w:t>
      </w:r>
      <w:r w:rsidRPr="00FD0845">
        <w:rPr>
          <w:rFonts w:ascii="Inter" w:eastAsia="Inter" w:hAnsi="Inter" w:cs="Inter"/>
          <w:sz w:val="24"/>
          <w:szCs w:val="24"/>
          <w:lang w:val="en-US"/>
        </w:rPr>
        <w:t>exemption, already applied in domestic anti-bribery law, provides a precedent for such decriminalization.</w:t>
      </w:r>
      <w:r w:rsidRPr="00FD0845">
        <w:rPr>
          <w:rFonts w:ascii="Inter" w:eastAsia="Inter" w:hAnsi="Inter" w:cs="Inter"/>
          <w:sz w:val="24"/>
          <w:szCs w:val="24"/>
          <w:vertAlign w:val="superscript"/>
          <w:lang w:val="en-US"/>
        </w:rPr>
        <w:footnoteReference w:id="27"/>
      </w:r>
    </w:p>
    <w:p w14:paraId="473C38EC" w14:textId="77777777" w:rsidR="00041907" w:rsidRPr="00FD0845" w:rsidRDefault="00041907" w:rsidP="00041907">
      <w:pPr>
        <w:spacing w:after="0"/>
        <w:jc w:val="both"/>
        <w:rPr>
          <w:rFonts w:ascii="Inter" w:eastAsia="Inter" w:hAnsi="Inter" w:cs="Inter"/>
          <w:sz w:val="24"/>
          <w:szCs w:val="24"/>
          <w:lang w:val="en-US"/>
        </w:rPr>
      </w:pPr>
    </w:p>
    <w:p w14:paraId="37C53E92" w14:textId="05FE5604" w:rsidR="00041907" w:rsidRPr="00FD0845" w:rsidRDefault="0071751D" w:rsidP="00041907">
      <w:pPr>
        <w:spacing w:after="0"/>
        <w:jc w:val="both"/>
        <w:rPr>
          <w:rFonts w:ascii="Inter" w:eastAsia="Inter" w:hAnsi="Inter" w:cs="Inter"/>
          <w:sz w:val="24"/>
          <w:szCs w:val="24"/>
          <w:lang w:val="en-US"/>
        </w:rPr>
      </w:pPr>
      <w:r w:rsidRPr="00FD0845">
        <w:rPr>
          <w:rFonts w:ascii="Inter" w:eastAsia="Inter" w:hAnsi="Inter" w:cs="Inter"/>
          <w:b/>
          <w:bCs/>
          <w:sz w:val="24"/>
          <w:szCs w:val="24"/>
          <w:lang w:val="en-US"/>
        </w:rPr>
        <w:t>3.4 Engage diverse stakeholders,</w:t>
      </w:r>
      <w:r w:rsidRPr="00FD0845">
        <w:rPr>
          <w:rFonts w:ascii="Inter" w:eastAsia="Inter" w:hAnsi="Inter" w:cs="Inter"/>
          <w:sz w:val="24"/>
          <w:szCs w:val="24"/>
          <w:lang w:val="en-US"/>
        </w:rPr>
        <w:t xml:space="preserve"> including women, girls, LGBTIQ+ advocacy groups, community-based and women’s organisations, in line with Resolution 10/10, in the design of legislation to reflect lived realities and needs.  </w:t>
      </w:r>
    </w:p>
    <w:p w14:paraId="5937F9C8" w14:textId="77777777" w:rsidR="00175D6D" w:rsidRPr="00FD0845" w:rsidRDefault="00175D6D" w:rsidP="00041907">
      <w:pPr>
        <w:spacing w:after="0"/>
        <w:jc w:val="both"/>
        <w:rPr>
          <w:rFonts w:ascii="Inter" w:eastAsia="Inter" w:hAnsi="Inter" w:cs="Inter"/>
          <w:sz w:val="24"/>
          <w:szCs w:val="24"/>
          <w:lang w:val="en-US"/>
        </w:rPr>
      </w:pPr>
    </w:p>
    <w:p w14:paraId="45C46F2C" w14:textId="7C06FDED" w:rsidR="00041907" w:rsidRPr="00FD0845" w:rsidRDefault="0071751D" w:rsidP="00041907">
      <w:pPr>
        <w:pStyle w:val="ListParagraph"/>
        <w:numPr>
          <w:ilvl w:val="0"/>
          <w:numId w:val="38"/>
        </w:numPr>
        <w:spacing w:after="0"/>
        <w:jc w:val="both"/>
        <w:rPr>
          <w:rFonts w:ascii="Inter" w:eastAsia="Inter" w:hAnsi="Inter" w:cs="Inter"/>
          <w:b/>
          <w:bCs/>
          <w:color w:val="000000" w:themeColor="text1"/>
          <w:sz w:val="26"/>
          <w:szCs w:val="26"/>
          <w:lang w:val="en-US"/>
        </w:rPr>
      </w:pPr>
      <w:r w:rsidRPr="00FD0845">
        <w:rPr>
          <w:rFonts w:ascii="Inter" w:eastAsia="Inter" w:hAnsi="Inter" w:cs="Inter"/>
          <w:b/>
          <w:bCs/>
          <w:color w:val="000000" w:themeColor="text1"/>
          <w:sz w:val="26"/>
          <w:szCs w:val="26"/>
          <w:lang w:val="en-US"/>
        </w:rPr>
        <w:t>Reporting: establish victim-centered mechanisms</w:t>
      </w:r>
    </w:p>
    <w:p w14:paraId="563922E9" w14:textId="286EE629" w:rsidR="0071751D" w:rsidRPr="00FD0845" w:rsidRDefault="0071751D" w:rsidP="00041907">
      <w:pPr>
        <w:spacing w:before="240" w:after="0"/>
        <w:jc w:val="both"/>
        <w:rPr>
          <w:rFonts w:ascii="Inter" w:eastAsia="Inter" w:hAnsi="Inter" w:cs="Inter"/>
          <w:sz w:val="24"/>
          <w:szCs w:val="24"/>
          <w:lang w:val="en-US"/>
        </w:rPr>
      </w:pPr>
      <w:r w:rsidRPr="00FD0845">
        <w:rPr>
          <w:rFonts w:ascii="Inter" w:eastAsia="Inter" w:hAnsi="Inter" w:cs="Inter"/>
          <w:b/>
          <w:bCs/>
          <w:sz w:val="24"/>
          <w:szCs w:val="24"/>
          <w:lang w:val="en-US"/>
        </w:rPr>
        <w:t xml:space="preserve">4.1 Establish safe, trauma-informed, accessible and gender-sensitive reporting mechanisms </w:t>
      </w:r>
      <w:r w:rsidRPr="00FD0845">
        <w:rPr>
          <w:rFonts w:ascii="Inter" w:eastAsia="Inter" w:hAnsi="Inter" w:cs="Inter"/>
          <w:sz w:val="24"/>
          <w:szCs w:val="24"/>
          <w:lang w:val="en-US"/>
        </w:rPr>
        <w:t>to redress against corruption for women and girls.</w:t>
      </w:r>
      <w:r w:rsidRPr="00FD0845">
        <w:rPr>
          <w:rFonts w:ascii="Inter" w:eastAsia="Inter" w:hAnsi="Inter" w:cs="Inter"/>
          <w:sz w:val="24"/>
          <w:szCs w:val="24"/>
          <w:vertAlign w:val="superscript"/>
          <w:lang w:val="en-US"/>
        </w:rPr>
        <w:footnoteReference w:id="28"/>
      </w:r>
      <w:r w:rsidRPr="00FD0845">
        <w:rPr>
          <w:rFonts w:ascii="Inter" w:eastAsia="Inter" w:hAnsi="Inter" w:cs="Inter"/>
          <w:sz w:val="24"/>
          <w:szCs w:val="24"/>
          <w:lang w:val="en-US"/>
        </w:rPr>
        <w:t xml:space="preserve">  Such reporting mechanisms should be grounded in clear legal definitions, as discussed above, to avoid criminal victimization, retaliation or victim</w:t>
      </w:r>
      <w:r w:rsidR="00467A5E">
        <w:rPr>
          <w:rFonts w:ascii="Inter" w:eastAsia="Inter" w:hAnsi="Inter" w:cs="Inter"/>
          <w:sz w:val="24"/>
          <w:szCs w:val="24"/>
          <w:lang w:val="en-US"/>
        </w:rPr>
        <w:t>-</w:t>
      </w:r>
      <w:r w:rsidRPr="00FD0845">
        <w:rPr>
          <w:rFonts w:ascii="Inter" w:eastAsia="Inter" w:hAnsi="Inter" w:cs="Inter"/>
          <w:sz w:val="24"/>
          <w:szCs w:val="24"/>
          <w:lang w:val="en-US"/>
        </w:rPr>
        <w:t>blaming.</w:t>
      </w:r>
      <w:r w:rsidRPr="00FD0845">
        <w:rPr>
          <w:rFonts w:ascii="Inter" w:eastAsia="Inter" w:hAnsi="Inter" w:cs="Inter"/>
          <w:sz w:val="24"/>
          <w:szCs w:val="24"/>
          <w:vertAlign w:val="superscript"/>
          <w:lang w:val="en-US"/>
        </w:rPr>
        <w:footnoteReference w:id="29"/>
      </w:r>
      <w:r w:rsidRPr="00FD0845">
        <w:rPr>
          <w:rFonts w:ascii="Inter" w:eastAsia="Inter" w:hAnsi="Inter" w:cs="Inter"/>
          <w:sz w:val="24"/>
          <w:szCs w:val="24"/>
          <w:lang w:val="en-US"/>
        </w:rPr>
        <w:t xml:space="preserve"> While providing the opportunity to report cases </w:t>
      </w:r>
      <w:r w:rsidRPr="00FD0845">
        <w:rPr>
          <w:rFonts w:ascii="Inter" w:eastAsia="Inter" w:hAnsi="Inter" w:cs="Inter"/>
          <w:sz w:val="24"/>
          <w:szCs w:val="24"/>
          <w:lang w:val="en-US"/>
        </w:rPr>
        <w:lastRenderedPageBreak/>
        <w:t>anonymously,</w:t>
      </w:r>
      <w:r w:rsidRPr="00FD0845">
        <w:rPr>
          <w:rFonts w:ascii="Inter" w:eastAsia="Inter" w:hAnsi="Inter" w:cs="Inter"/>
          <w:sz w:val="24"/>
          <w:szCs w:val="24"/>
          <w:vertAlign w:val="superscript"/>
          <w:lang w:val="en-US"/>
        </w:rPr>
        <w:footnoteReference w:id="30"/>
      </w:r>
      <w:r w:rsidRPr="00FD0845">
        <w:rPr>
          <w:rFonts w:ascii="Inter" w:eastAsia="Inter" w:hAnsi="Inter" w:cs="Inter"/>
          <w:sz w:val="24"/>
          <w:szCs w:val="24"/>
          <w:lang w:val="en-US"/>
        </w:rPr>
        <w:t xml:space="preserve"> these mechanisms should keep identified victims regularly informed of the progress of their case, to protect witnesses and whistleblowers</w:t>
      </w:r>
      <w:r w:rsidR="00606825" w:rsidRPr="00FD0845">
        <w:rPr>
          <w:rFonts w:ascii="Inter" w:eastAsia="Inter" w:hAnsi="Inter" w:cs="Inter"/>
          <w:sz w:val="24"/>
          <w:szCs w:val="24"/>
          <w:lang w:val="en-US"/>
        </w:rPr>
        <w:t>,</w:t>
      </w:r>
      <w:r w:rsidRPr="00FD0845">
        <w:rPr>
          <w:rFonts w:ascii="Inter" w:eastAsia="Inter" w:hAnsi="Inter" w:cs="Inter"/>
          <w:sz w:val="24"/>
          <w:szCs w:val="24"/>
          <w:lang w:val="en-US"/>
        </w:rPr>
        <w:t xml:space="preserve"> and include strong and gender responsive protections against retaliation, stigmatization and victim-blaming</w:t>
      </w:r>
      <w:r w:rsidR="00504374">
        <w:rPr>
          <w:rFonts w:ascii="Inter" w:eastAsia="Inter" w:hAnsi="Inter" w:cs="Inter"/>
          <w:sz w:val="24"/>
          <w:szCs w:val="24"/>
          <w:lang w:val="en-US"/>
        </w:rPr>
        <w:t>.</w:t>
      </w:r>
      <w:r w:rsidRPr="00FD0845">
        <w:rPr>
          <w:rFonts w:ascii="Inter" w:eastAsia="Inter" w:hAnsi="Inter" w:cs="Inter"/>
          <w:sz w:val="24"/>
          <w:szCs w:val="24"/>
          <w:vertAlign w:val="superscript"/>
          <w:lang w:val="en-US"/>
        </w:rPr>
        <w:footnoteReference w:id="31"/>
      </w:r>
    </w:p>
    <w:p w14:paraId="3D592CDF" w14:textId="77777777" w:rsidR="0071751D" w:rsidRPr="00FD0845" w:rsidRDefault="0071751D" w:rsidP="0071751D">
      <w:pPr>
        <w:spacing w:after="0"/>
        <w:jc w:val="both"/>
        <w:rPr>
          <w:rFonts w:ascii="Inter" w:eastAsia="Inter" w:hAnsi="Inter" w:cs="Inter"/>
          <w:sz w:val="24"/>
          <w:szCs w:val="24"/>
          <w:lang w:val="en-US"/>
        </w:rPr>
      </w:pPr>
    </w:p>
    <w:p w14:paraId="6639E5BB" w14:textId="150E485D" w:rsidR="0064600C" w:rsidRPr="00FD0845" w:rsidRDefault="0071751D" w:rsidP="0071751D">
      <w:pPr>
        <w:spacing w:after="0"/>
        <w:jc w:val="both"/>
        <w:rPr>
          <w:rFonts w:ascii="Inter" w:eastAsia="Inter" w:hAnsi="Inter" w:cs="Inter"/>
          <w:sz w:val="24"/>
          <w:szCs w:val="24"/>
          <w:lang w:val="en-US"/>
        </w:rPr>
      </w:pPr>
      <w:r w:rsidRPr="00FD0845">
        <w:rPr>
          <w:rFonts w:ascii="Inter" w:eastAsia="Inter" w:hAnsi="Inter" w:cs="Inter"/>
          <w:b/>
          <w:bCs/>
          <w:sz w:val="24"/>
          <w:szCs w:val="24"/>
          <w:lang w:val="en-US"/>
        </w:rPr>
        <w:t>4.2 Ensure access to comprehensive support services</w:t>
      </w:r>
      <w:r w:rsidRPr="00FD0845">
        <w:rPr>
          <w:rFonts w:ascii="Inter" w:eastAsia="Inter" w:hAnsi="Inter" w:cs="Inter"/>
          <w:sz w:val="24"/>
          <w:szCs w:val="24"/>
          <w:lang w:val="en-US"/>
        </w:rPr>
        <w:t>, including legal aid, counselling and medical care, so victims can safely report incidents and pursue justice.</w:t>
      </w:r>
    </w:p>
    <w:sectPr w:rsidR="0064600C" w:rsidRPr="00FD0845" w:rsidSect="00BC2368">
      <w:headerReference w:type="default" r:id="rId9"/>
      <w:footerReference w:type="default" r:id="rId10"/>
      <w:headerReference w:type="first" r:id="rId11"/>
      <w:footerReference w:type="first" r:id="rId12"/>
      <w:pgSz w:w="11906" w:h="16838" w:code="9"/>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6244D" w14:textId="77777777" w:rsidR="008F0AAE" w:rsidRDefault="008F0AAE" w:rsidP="00F04F4E">
      <w:pPr>
        <w:spacing w:after="0"/>
      </w:pPr>
      <w:r>
        <w:separator/>
      </w:r>
    </w:p>
  </w:endnote>
  <w:endnote w:type="continuationSeparator" w:id="0">
    <w:p w14:paraId="0554AE5A" w14:textId="77777777" w:rsidR="008F0AAE" w:rsidRDefault="008F0AAE" w:rsidP="00F04F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5D86B780-7818-9C4B-8CCA-0D798EEA59D6}"/>
  </w:font>
  <w:font w:name="Times New Roman">
    <w:panose1 w:val="02020603050405020304"/>
    <w:charset w:val="00"/>
    <w:family w:val="roman"/>
    <w:pitch w:val="variable"/>
    <w:sig w:usb0="E0002EFF" w:usb1="C000785B" w:usb2="00000009" w:usb3="00000000" w:csb0="000001FF" w:csb1="00000000"/>
    <w:embedRegular r:id="rId2" w:fontKey="{C752BEFF-E4C9-BE4A-B963-A23615C9B919}"/>
    <w:embedBold r:id="rId3" w:fontKey="{6F641C26-CD6C-DC4E-8AD1-39D68813D5A7}"/>
    <w:embedItalic r:id="rId4" w:fontKey="{58073744-CF73-404F-A196-CF10137BF09C}"/>
  </w:font>
  <w:font w:name="Courier New">
    <w:panose1 w:val="02070309020205020404"/>
    <w:charset w:val="00"/>
    <w:family w:val="modern"/>
    <w:pitch w:val="fixed"/>
    <w:sig w:usb0="E0002AFF" w:usb1="C0007843" w:usb2="00000009" w:usb3="00000000" w:csb0="000001FF" w:csb1="00000000"/>
    <w:embedRegular r:id="rId5" w:fontKey="{38AE252D-7814-5547-8094-F87F23F663D7}"/>
  </w:font>
  <w:font w:name="Wingdings">
    <w:panose1 w:val="05000000000000000000"/>
    <w:charset w:val="4D"/>
    <w:family w:val="decorative"/>
    <w:pitch w:val="variable"/>
    <w:sig w:usb0="00000003" w:usb1="00000000" w:usb2="00000000" w:usb3="00000000" w:csb0="80000001" w:csb1="00000000"/>
    <w:embedRegular r:id="rId6" w:fontKey="{33E8ACA1-312B-0646-84A8-CA5253C69C44}"/>
  </w:font>
  <w:font w:name="Noto Sans">
    <w:panose1 w:val="020B0502040504020204"/>
    <w:charset w:val="00"/>
    <w:family w:val="swiss"/>
    <w:pitch w:val="variable"/>
    <w:sig w:usb0="E00082FF" w:usb1="400078FF" w:usb2="00000021" w:usb3="00000000" w:csb0="0000019F" w:csb1="00000000"/>
    <w:embedRegular r:id="rId7" w:fontKey="{3C70D8B4-C071-2340-BD83-F87E6BAC60E0}"/>
  </w:font>
  <w:font w:name="Inter">
    <w:altName w:val="Calibri"/>
    <w:panose1 w:val="020B0604020202020204"/>
    <w:charset w:val="00"/>
    <w:family w:val="auto"/>
    <w:pitch w:val="default"/>
  </w:font>
  <w:font w:name="Lexend">
    <w:altName w:val="Calibri"/>
    <w:panose1 w:val="020B0604020202020204"/>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14" w:fontKey="{4FE20F5E-3ACB-2744-9BEB-98DAB4CCD443}"/>
  </w:font>
  <w:font w:name="Source Code Pro">
    <w:panose1 w:val="020B0509030403020204"/>
    <w:charset w:val="00"/>
    <w:family w:val="modern"/>
    <w:pitch w:val="fixed"/>
    <w:sig w:usb0="200002F7" w:usb1="02003803" w:usb2="00000000" w:usb3="00000000" w:csb0="0000019F" w:csb1="00000000"/>
  </w:font>
  <w:font w:name="Consolas">
    <w:panose1 w:val="020B0609020204030204"/>
    <w:charset w:val="00"/>
    <w:family w:val="modern"/>
    <w:pitch w:val="fixed"/>
    <w:sig w:usb0="E10002FF" w:usb1="4000FCFF" w:usb2="00000009" w:usb3="00000000" w:csb0="0000019F" w:csb1="00000000"/>
    <w:embedRegular r:id="rId15" w:fontKey="{3C016734-C2B1-9844-B94B-4B4205482129}"/>
  </w:font>
  <w:font w:name="Tahoma">
    <w:panose1 w:val="020B0604030504040204"/>
    <w:charset w:val="00"/>
    <w:family w:val="swiss"/>
    <w:pitch w:val="variable"/>
    <w:sig w:usb0="E1002EFF" w:usb1="C000605B" w:usb2="00000029" w:usb3="00000000" w:csb0="000101FF" w:csb1="00000000"/>
    <w:embedRegular r:id="rId16" w:fontKey="{F29103EC-DFFB-AC4B-98E9-CB21098C0240}"/>
  </w:font>
  <w:font w:name="Cambria">
    <w:panose1 w:val="02040503050406030204"/>
    <w:charset w:val="00"/>
    <w:family w:val="roman"/>
    <w:pitch w:val="variable"/>
    <w:sig w:usb0="E00002FF" w:usb1="400004FF" w:usb2="00000000" w:usb3="00000000" w:csb0="0000019F" w:csb1="00000000"/>
    <w:embedRegular r:id="rId17" w:fontKey="{44C01FAC-6203-CA43-BE5F-5AC6C03B5E8E}"/>
    <w:embedItalic r:id="rId18" w:fontKey="{DDC7632F-261E-3A45-B2BD-91BF739FA6E4}"/>
  </w:font>
  <w:font w:name="Calibri">
    <w:panose1 w:val="020F0502020204030204"/>
    <w:charset w:val="00"/>
    <w:family w:val="swiss"/>
    <w:pitch w:val="variable"/>
    <w:sig w:usb0="E0002AFF" w:usb1="C000247B" w:usb2="00000009" w:usb3="00000000" w:csb0="000001FF" w:csb1="00000000"/>
    <w:embedRegular r:id="rId19" w:fontKey="{CB67E446-E28C-D04D-B4CE-AF7F512340C5}"/>
    <w:embedItalic r:id="rId20" w:fontKey="{70DEECB6-F1D9-F945-BD5B-EF2F57479C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3AC06" w14:textId="77777777" w:rsidR="0074030F" w:rsidRPr="00CE4209" w:rsidRDefault="00CE4209" w:rsidP="00CE4209">
    <w:pPr>
      <w:pStyle w:val="Footer"/>
    </w:pPr>
    <w:r w:rsidRPr="00CE4209">
      <w:rPr>
        <w:rStyle w:val="PageNumber"/>
      </w:rPr>
      <w:fldChar w:fldCharType="begin"/>
    </w:r>
    <w:r w:rsidRPr="00CE4209">
      <w:rPr>
        <w:rStyle w:val="PageNumber"/>
      </w:rPr>
      <w:instrText xml:space="preserve"> PAGE </w:instrText>
    </w:r>
    <w:r w:rsidRPr="00CE4209">
      <w:rPr>
        <w:rStyle w:val="PageNumber"/>
      </w:rPr>
      <w:fldChar w:fldCharType="separate"/>
    </w:r>
    <w:r w:rsidR="00155435">
      <w:rPr>
        <w:rStyle w:val="PageNumber"/>
        <w:noProof/>
      </w:rPr>
      <w:t>1</w:t>
    </w:r>
    <w:r w:rsidRPr="00CE4209">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E57D9" w14:textId="77777777" w:rsidR="00D7094D" w:rsidRDefault="00D7094D" w:rsidP="00D7094D">
    <w:pPr>
      <w:pStyle w:val="Footer"/>
    </w:pPr>
    <w:r w:rsidRPr="00CE4209">
      <w:rPr>
        <w:rStyle w:val="PageNumber"/>
      </w:rPr>
      <w:fldChar w:fldCharType="begin"/>
    </w:r>
    <w:r w:rsidRPr="00CE4209">
      <w:rPr>
        <w:rStyle w:val="PageNumber"/>
      </w:rPr>
      <w:instrText xml:space="preserve"> PAGE </w:instrText>
    </w:r>
    <w:r w:rsidRPr="00CE4209">
      <w:rPr>
        <w:rStyle w:val="PageNumber"/>
      </w:rPr>
      <w:fldChar w:fldCharType="separate"/>
    </w:r>
    <w:r>
      <w:rPr>
        <w:rStyle w:val="PageNumber"/>
      </w:rPr>
      <w:t>2</w:t>
    </w:r>
    <w:r w:rsidRPr="00CE4209">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AC2C3" w14:textId="77777777" w:rsidR="008F0AAE" w:rsidRDefault="008F0AAE" w:rsidP="00F04F4E">
      <w:pPr>
        <w:spacing w:after="0"/>
      </w:pPr>
      <w:r>
        <w:separator/>
      </w:r>
    </w:p>
  </w:footnote>
  <w:footnote w:type="continuationSeparator" w:id="0">
    <w:p w14:paraId="31023721" w14:textId="77777777" w:rsidR="008F0AAE" w:rsidRDefault="008F0AAE" w:rsidP="00F04F4E">
      <w:pPr>
        <w:spacing w:after="0"/>
      </w:pPr>
      <w:r>
        <w:continuationSeparator/>
      </w:r>
    </w:p>
  </w:footnote>
  <w:footnote w:id="1">
    <w:p w14:paraId="21948E9E" w14:textId="3967878A" w:rsidR="00794301" w:rsidRPr="00607B40" w:rsidRDefault="00BC2368" w:rsidP="00794301">
      <w:pPr>
        <w:pBdr>
          <w:top w:val="nil"/>
          <w:left w:val="nil"/>
          <w:bottom w:val="nil"/>
          <w:right w:val="nil"/>
          <w:between w:val="nil"/>
        </w:pBdr>
        <w:spacing w:after="0" w:line="240" w:lineRule="auto"/>
        <w:rPr>
          <w:rFonts w:eastAsia="Cambria" w:cs="Calibri"/>
          <w:color w:val="000000" w:themeColor="text1"/>
          <w:szCs w:val="20"/>
        </w:rPr>
      </w:pPr>
      <w:r w:rsidRPr="00607B40">
        <w:rPr>
          <w:rStyle w:val="FootnoteReference"/>
          <w:rFonts w:cs="Calibri"/>
          <w:color w:val="000000" w:themeColor="text1"/>
          <w:szCs w:val="20"/>
        </w:rPr>
        <w:footnoteRef/>
      </w:r>
      <w:r w:rsidRPr="00607B40">
        <w:rPr>
          <w:rFonts w:eastAsia="Cambria" w:cs="Calibri"/>
          <w:color w:val="000000" w:themeColor="text1"/>
          <w:szCs w:val="20"/>
        </w:rPr>
        <w:t xml:space="preserve"> </w:t>
      </w:r>
      <w:r w:rsidR="00794301" w:rsidRPr="00607B40">
        <w:rPr>
          <w:rFonts w:eastAsia="Cambria" w:cs="Calibri"/>
          <w:color w:val="000000" w:themeColor="text1"/>
          <w:szCs w:val="20"/>
        </w:rPr>
        <w:t xml:space="preserve">The Global Civil Society Coalition for the UNCAC’s Working Group on Gender, Inclusion and Corruption comprises of over 200 members, </w:t>
      </w:r>
      <w:r w:rsidR="00607B40" w:rsidRPr="00607B40">
        <w:rPr>
          <w:color w:val="000000" w:themeColor="text1"/>
          <w:szCs w:val="20"/>
        </w:rPr>
        <w:t>from civil society organizations, activists, academia and other stakeholders</w:t>
      </w:r>
      <w:r w:rsidR="00607B40" w:rsidRPr="00607B40">
        <w:rPr>
          <w:color w:val="000000" w:themeColor="text1"/>
          <w:szCs w:val="20"/>
        </w:rPr>
        <w:t>.</w:t>
      </w:r>
      <w:r w:rsidR="00607B40" w:rsidRPr="00607B40">
        <w:rPr>
          <w:rFonts w:eastAsia="Cambria" w:cs="Calibri"/>
          <w:color w:val="000000" w:themeColor="text1"/>
          <w:szCs w:val="20"/>
        </w:rPr>
        <w:t xml:space="preserve"> </w:t>
      </w:r>
      <w:r w:rsidR="00607B40">
        <w:rPr>
          <w:rFonts w:eastAsia="Cambria" w:cs="Calibri"/>
          <w:color w:val="000000" w:themeColor="text1"/>
          <w:szCs w:val="20"/>
        </w:rPr>
        <w:t>It</w:t>
      </w:r>
      <w:r w:rsidR="00794301" w:rsidRPr="00607B40">
        <w:rPr>
          <w:rFonts w:eastAsia="Cambria" w:cs="Calibri"/>
          <w:color w:val="000000" w:themeColor="text1"/>
          <w:szCs w:val="20"/>
        </w:rPr>
        <w:t xml:space="preserve"> seeks to influence and inspire others to pay more attention to gender and inclusion in anti-corruption policy and practice, share ideas on new research questions for academics to undertake around gender and corruption, and advance for better data on gender and corruption. UNCAC Coalition. “Gender, Inclusion and Corruption Working Group.” UNCAC Coalition, accessed 20 November 2025. </w:t>
      </w:r>
      <w:hyperlink r:id="rId1">
        <w:r w:rsidR="00794301" w:rsidRPr="00607B40">
          <w:rPr>
            <w:rStyle w:val="Hyperlink"/>
            <w:rFonts w:eastAsia="Cambria" w:cs="Calibri"/>
            <w:szCs w:val="20"/>
          </w:rPr>
          <w:t>https://uncaccoalition.org/get-involved/working-groups/gender-inclusion-corruption/</w:t>
        </w:r>
      </w:hyperlink>
      <w:r w:rsidR="00794301" w:rsidRPr="00607B40">
        <w:rPr>
          <w:rFonts w:eastAsia="Cambria" w:cs="Calibri"/>
          <w:color w:val="000000" w:themeColor="text1"/>
          <w:szCs w:val="20"/>
        </w:rPr>
        <w:t>.</w:t>
      </w:r>
    </w:p>
    <w:p w14:paraId="155DF412" w14:textId="5B300DF3" w:rsidR="00BC2368" w:rsidRPr="00607B40" w:rsidRDefault="00BC2368" w:rsidP="00BC2368">
      <w:pPr>
        <w:pBdr>
          <w:top w:val="nil"/>
          <w:left w:val="nil"/>
          <w:bottom w:val="nil"/>
          <w:right w:val="nil"/>
          <w:between w:val="nil"/>
        </w:pBdr>
        <w:spacing w:after="0" w:line="240" w:lineRule="auto"/>
        <w:rPr>
          <w:rFonts w:eastAsia="Cambria" w:cs="Calibri"/>
          <w:color w:val="000000"/>
          <w:szCs w:val="20"/>
        </w:rPr>
      </w:pPr>
      <w:r w:rsidRPr="00607B40">
        <w:rPr>
          <w:rFonts w:eastAsia="Cambria" w:cs="Calibri"/>
          <w:szCs w:val="20"/>
        </w:rPr>
        <w:t xml:space="preserve">UNCAC Coalition. “Gender and Inclusion and Corruption Working Group.” UNCAC Coalition, accessed </w:t>
      </w:r>
      <w:r w:rsidR="002043B9" w:rsidRPr="00607B40">
        <w:rPr>
          <w:rFonts w:eastAsia="Cambria" w:cs="Calibri"/>
          <w:szCs w:val="20"/>
        </w:rPr>
        <w:t xml:space="preserve">20 </w:t>
      </w:r>
      <w:r w:rsidRPr="00607B40">
        <w:rPr>
          <w:rFonts w:eastAsia="Cambria" w:cs="Calibri"/>
          <w:szCs w:val="20"/>
        </w:rPr>
        <w:t xml:space="preserve">November 2025. </w:t>
      </w:r>
      <w:hyperlink r:id="rId2">
        <w:r w:rsidRPr="00607B40">
          <w:rPr>
            <w:rFonts w:eastAsia="Cambria" w:cs="Calibri"/>
            <w:color w:val="1155CC"/>
            <w:szCs w:val="20"/>
            <w:u w:val="single"/>
          </w:rPr>
          <w:t>https://uncaccoalition.org/get-involved/working-groups/gender-inclusion-corruption/</w:t>
        </w:r>
      </w:hyperlink>
      <w:r w:rsidRPr="00607B40">
        <w:rPr>
          <w:rFonts w:eastAsia="Cambria" w:cs="Calibri"/>
          <w:szCs w:val="20"/>
        </w:rPr>
        <w:t>.</w:t>
      </w:r>
    </w:p>
  </w:footnote>
  <w:footnote w:id="2">
    <w:p w14:paraId="57E42973" w14:textId="7AC266CD" w:rsidR="002340F0" w:rsidRPr="00607B40" w:rsidRDefault="002340F0" w:rsidP="002340F0">
      <w:pPr>
        <w:pBdr>
          <w:top w:val="nil"/>
          <w:left w:val="nil"/>
          <w:bottom w:val="nil"/>
          <w:right w:val="nil"/>
          <w:between w:val="nil"/>
        </w:pBdr>
        <w:spacing w:after="0" w:line="240" w:lineRule="auto"/>
        <w:rPr>
          <w:rFonts w:eastAsia="Cambria" w:cs="Calibri"/>
          <w:color w:val="000000"/>
          <w:szCs w:val="20"/>
        </w:rPr>
      </w:pPr>
      <w:r w:rsidRPr="00607B40">
        <w:rPr>
          <w:rStyle w:val="FootnoteReference"/>
          <w:rFonts w:cs="Calibri"/>
          <w:color w:val="000000" w:themeColor="text1"/>
          <w:szCs w:val="20"/>
        </w:rPr>
        <w:footnoteRef/>
      </w:r>
      <w:r w:rsidRPr="00607B40">
        <w:rPr>
          <w:rFonts w:eastAsia="Cambria" w:cs="Calibri"/>
          <w:color w:val="000000" w:themeColor="text1"/>
          <w:szCs w:val="20"/>
        </w:rPr>
        <w:t xml:space="preserve"> </w:t>
      </w:r>
      <w:r w:rsidRPr="00607B40">
        <w:rPr>
          <w:rFonts w:eastAsia="Cambria" w:cs="Calibri"/>
          <w:szCs w:val="20"/>
        </w:rPr>
        <w:t>UNCAC Coalition Gender, Inclusion and Corruption Working Group.</w:t>
      </w:r>
      <w:r w:rsidR="002043B9" w:rsidRPr="00607B40">
        <w:rPr>
          <w:rFonts w:eastAsia="Cambria" w:cs="Calibri"/>
          <w:szCs w:val="20"/>
        </w:rPr>
        <w:t xml:space="preserve"> </w:t>
      </w:r>
      <w:r w:rsidRPr="00607B40">
        <w:rPr>
          <w:rFonts w:eastAsia="Cambria" w:cs="Calibri"/>
          <w:szCs w:val="20"/>
        </w:rPr>
        <w:t xml:space="preserve">“Promoting a gender-responsive and inclusive approach to anti-corruption,” UNODC, 2023. </w:t>
      </w:r>
      <w:r w:rsidRPr="00607B40">
        <w:rPr>
          <w:rFonts w:eastAsia="Cambria" w:cs="Calibri"/>
          <w:color w:val="000000"/>
          <w:szCs w:val="20"/>
        </w:rPr>
        <w:t xml:space="preserve"> </w:t>
      </w:r>
      <w:hyperlink r:id="rId3">
        <w:r w:rsidRPr="00607B40">
          <w:rPr>
            <w:rFonts w:eastAsia="Cambria" w:cs="Calibri"/>
            <w:color w:val="1155CC"/>
            <w:szCs w:val="20"/>
            <w:u w:val="single"/>
          </w:rPr>
          <w:t>https://www.unodc.org/documents/treaties/UNCAC/COSP/session10/NGO/CAC-COSP-2023-NGO31.pdf</w:t>
        </w:r>
      </w:hyperlink>
      <w:r w:rsidRPr="00607B40">
        <w:rPr>
          <w:rFonts w:eastAsia="Cambria" w:cs="Calibri"/>
          <w:szCs w:val="20"/>
        </w:rPr>
        <w:t>;</w:t>
      </w:r>
      <w:r w:rsidRPr="00607B40">
        <w:rPr>
          <w:rFonts w:eastAsia="Cambria" w:cs="Calibri"/>
          <w:color w:val="000000"/>
          <w:szCs w:val="20"/>
        </w:rPr>
        <w:t xml:space="preserve"> Elin </w:t>
      </w:r>
      <w:proofErr w:type="spellStart"/>
      <w:r w:rsidRPr="00607B40">
        <w:rPr>
          <w:rFonts w:eastAsia="Cambria" w:cs="Calibri"/>
          <w:color w:val="000000"/>
          <w:szCs w:val="20"/>
        </w:rPr>
        <w:t>Bjarnegård</w:t>
      </w:r>
      <w:proofErr w:type="spellEnd"/>
      <w:r w:rsidRPr="00607B40">
        <w:rPr>
          <w:rFonts w:eastAsia="Cambria" w:cs="Calibri"/>
          <w:color w:val="000000"/>
          <w:szCs w:val="20"/>
        </w:rPr>
        <w:t xml:space="preserve">, </w:t>
      </w:r>
      <w:r w:rsidRPr="00607B40">
        <w:rPr>
          <w:rFonts w:eastAsia="Cambria" w:cs="Calibri"/>
          <w:szCs w:val="20"/>
        </w:rPr>
        <w:t xml:space="preserve">Dolores </w:t>
      </w:r>
      <w:r w:rsidRPr="00607B40">
        <w:rPr>
          <w:rFonts w:eastAsia="Cambria" w:cs="Calibri"/>
          <w:color w:val="000000"/>
          <w:szCs w:val="20"/>
        </w:rPr>
        <w:t>Calvo</w:t>
      </w:r>
      <w:r w:rsidRPr="00607B40">
        <w:rPr>
          <w:rFonts w:eastAsia="Cambria" w:cs="Calibri"/>
          <w:szCs w:val="20"/>
        </w:rPr>
        <w:t>,</w:t>
      </w:r>
      <w:r w:rsidRPr="00607B40">
        <w:rPr>
          <w:rFonts w:eastAsia="Cambria" w:cs="Calibri"/>
          <w:color w:val="000000"/>
          <w:szCs w:val="20"/>
        </w:rPr>
        <w:t xml:space="preserve"> Å</w:t>
      </w:r>
      <w:r w:rsidRPr="00607B40">
        <w:rPr>
          <w:rFonts w:eastAsia="Cambria" w:cs="Calibri"/>
          <w:szCs w:val="20"/>
        </w:rPr>
        <w:t>sa</w:t>
      </w:r>
      <w:r w:rsidRPr="00607B40">
        <w:rPr>
          <w:rFonts w:eastAsia="Cambria" w:cs="Calibri"/>
          <w:color w:val="000000"/>
          <w:szCs w:val="20"/>
        </w:rPr>
        <w:t xml:space="preserve"> </w:t>
      </w:r>
      <w:proofErr w:type="spellStart"/>
      <w:r w:rsidRPr="00607B40">
        <w:rPr>
          <w:rFonts w:eastAsia="Cambria" w:cs="Calibri"/>
          <w:szCs w:val="20"/>
        </w:rPr>
        <w:t>Eldén</w:t>
      </w:r>
      <w:proofErr w:type="spellEnd"/>
      <w:r w:rsidRPr="00607B40">
        <w:rPr>
          <w:rFonts w:eastAsia="Cambria" w:cs="Calibri"/>
          <w:szCs w:val="20"/>
        </w:rPr>
        <w:t>, and</w:t>
      </w:r>
      <w:r w:rsidRPr="00607B40">
        <w:rPr>
          <w:rFonts w:eastAsia="Cambria" w:cs="Calibri"/>
          <w:color w:val="000000"/>
          <w:szCs w:val="20"/>
        </w:rPr>
        <w:t xml:space="preserve"> Silje Lundgren</w:t>
      </w:r>
      <w:r w:rsidRPr="00607B40">
        <w:rPr>
          <w:rFonts w:eastAsia="Cambria" w:cs="Calibri"/>
          <w:szCs w:val="20"/>
        </w:rPr>
        <w:t>, “</w:t>
      </w:r>
      <w:r w:rsidRPr="00607B40">
        <w:rPr>
          <w:rFonts w:eastAsia="Cambria" w:cs="Calibri"/>
          <w:color w:val="000000"/>
          <w:szCs w:val="20"/>
        </w:rPr>
        <w:t>What is sexual corruption? The challenges of raising awareness and legislating in the absence of recognition</w:t>
      </w:r>
      <w:r w:rsidRPr="00607B40">
        <w:rPr>
          <w:rFonts w:eastAsia="Cambria" w:cs="Calibri"/>
          <w:szCs w:val="20"/>
        </w:rPr>
        <w:t>,”</w:t>
      </w:r>
      <w:r w:rsidRPr="00607B40">
        <w:rPr>
          <w:rFonts w:eastAsia="Cambria" w:cs="Calibri"/>
          <w:color w:val="000000"/>
          <w:szCs w:val="20"/>
        </w:rPr>
        <w:t xml:space="preserve"> Forum on Crime and Society</w:t>
      </w:r>
      <w:r w:rsidRPr="00607B40">
        <w:rPr>
          <w:rFonts w:eastAsia="Cambria" w:cs="Calibri"/>
          <w:szCs w:val="20"/>
        </w:rPr>
        <w:t xml:space="preserve"> </w:t>
      </w:r>
      <w:r w:rsidRPr="00607B40">
        <w:rPr>
          <w:rFonts w:eastAsia="Cambria" w:cs="Calibri"/>
          <w:szCs w:val="20"/>
          <w:highlight w:val="white"/>
        </w:rPr>
        <w:t>11, no.1 (2025)</w:t>
      </w:r>
      <w:r w:rsidRPr="00607B40">
        <w:rPr>
          <w:rFonts w:eastAsia="Cambria" w:cs="Calibri"/>
          <w:szCs w:val="20"/>
        </w:rPr>
        <w:t>: 1-17.</w:t>
      </w:r>
      <w:r w:rsidRPr="00607B40">
        <w:rPr>
          <w:rFonts w:eastAsia="Cambria" w:cs="Calibri"/>
          <w:color w:val="000000"/>
          <w:szCs w:val="20"/>
        </w:rPr>
        <w:t xml:space="preserve"> </w:t>
      </w:r>
      <w:hyperlink r:id="rId4">
        <w:r w:rsidRPr="00607B40">
          <w:rPr>
            <w:rFonts w:eastAsia="Cambria" w:cs="Calibri"/>
            <w:color w:val="1155CC"/>
            <w:szCs w:val="20"/>
            <w:u w:val="single"/>
          </w:rPr>
          <w:t>https://www.unodc.org/documents/data-and-analysis/Forum/Forum_2025/ForumCrimeSociety_Vol11_Chapter1.pdf</w:t>
        </w:r>
      </w:hyperlink>
      <w:r w:rsidRPr="00607B40">
        <w:rPr>
          <w:rFonts w:eastAsia="Cambria" w:cs="Calibri"/>
          <w:szCs w:val="20"/>
        </w:rPr>
        <w:t>.</w:t>
      </w:r>
    </w:p>
  </w:footnote>
  <w:footnote w:id="3">
    <w:p w14:paraId="67171656" w14:textId="77777777" w:rsidR="002340F0" w:rsidRPr="00607B40" w:rsidRDefault="002340F0" w:rsidP="002340F0">
      <w:pPr>
        <w:pBdr>
          <w:top w:val="nil"/>
          <w:left w:val="nil"/>
          <w:bottom w:val="nil"/>
          <w:right w:val="nil"/>
          <w:between w:val="nil"/>
        </w:pBdr>
        <w:spacing w:after="0" w:line="240" w:lineRule="auto"/>
        <w:rPr>
          <w:rFonts w:eastAsia="Cambria" w:cs="Calibri"/>
          <w:color w:val="000000"/>
          <w:szCs w:val="20"/>
        </w:rPr>
      </w:pPr>
      <w:r w:rsidRPr="00607B40">
        <w:rPr>
          <w:rStyle w:val="FootnoteReference"/>
          <w:rFonts w:cs="Calibri"/>
          <w:color w:val="000000" w:themeColor="text1"/>
          <w:szCs w:val="20"/>
        </w:rPr>
        <w:footnoteRef/>
      </w:r>
      <w:r w:rsidRPr="00607B40">
        <w:rPr>
          <w:rFonts w:eastAsia="Cambria" w:cs="Calibri"/>
          <w:color w:val="000000" w:themeColor="text1"/>
          <w:szCs w:val="20"/>
        </w:rPr>
        <w:t xml:space="preserve"> Transparency </w:t>
      </w:r>
      <w:r w:rsidRPr="00607B40">
        <w:rPr>
          <w:rFonts w:eastAsia="Cambria" w:cs="Calibri"/>
          <w:szCs w:val="20"/>
        </w:rPr>
        <w:t>International. “Global Corruption Barometer,” Transparency International, 2023.</w:t>
      </w:r>
      <w:hyperlink r:id="rId5">
        <w:r w:rsidRPr="00607B40">
          <w:rPr>
            <w:rFonts w:eastAsia="Cambria" w:cs="Calibri"/>
            <w:szCs w:val="20"/>
          </w:rPr>
          <w:t xml:space="preserve"> </w:t>
        </w:r>
      </w:hyperlink>
      <w:hyperlink r:id="rId6">
        <w:r w:rsidRPr="00607B40">
          <w:rPr>
            <w:rFonts w:eastAsia="Cambria" w:cs="Calibri"/>
            <w:color w:val="1155CC"/>
            <w:szCs w:val="20"/>
            <w:u w:val="single"/>
          </w:rPr>
          <w:t>https://www.transparency.org/en/gcb</w:t>
        </w:r>
      </w:hyperlink>
      <w:r w:rsidRPr="00607B40">
        <w:rPr>
          <w:rFonts w:eastAsia="Cambria" w:cs="Calibri"/>
          <w:szCs w:val="20"/>
        </w:rPr>
        <w:t>.</w:t>
      </w:r>
    </w:p>
  </w:footnote>
  <w:footnote w:id="4">
    <w:p w14:paraId="7BC0E137" w14:textId="77777777" w:rsidR="002340F0" w:rsidRPr="00607B40" w:rsidRDefault="002340F0" w:rsidP="002340F0">
      <w:pPr>
        <w:pBdr>
          <w:top w:val="nil"/>
          <w:left w:val="nil"/>
          <w:bottom w:val="nil"/>
          <w:right w:val="nil"/>
          <w:between w:val="nil"/>
        </w:pBdr>
        <w:spacing w:after="0" w:line="240" w:lineRule="auto"/>
        <w:rPr>
          <w:rFonts w:eastAsia="Cambria" w:cs="Calibri"/>
          <w:color w:val="000000"/>
          <w:szCs w:val="20"/>
        </w:rPr>
      </w:pPr>
      <w:r w:rsidRPr="00607B40">
        <w:rPr>
          <w:rStyle w:val="FootnoteReference"/>
          <w:rFonts w:cs="Calibri"/>
          <w:color w:val="000000" w:themeColor="text1"/>
          <w:szCs w:val="20"/>
        </w:rPr>
        <w:footnoteRef/>
      </w:r>
      <w:r w:rsidRPr="00607B40">
        <w:rPr>
          <w:rFonts w:eastAsia="Cambria" w:cs="Calibri"/>
          <w:color w:val="000000" w:themeColor="text1"/>
          <w:szCs w:val="20"/>
        </w:rPr>
        <w:t xml:space="preserve"> Hazel </w:t>
      </w:r>
      <w:proofErr w:type="spellStart"/>
      <w:r w:rsidRPr="00607B40">
        <w:rPr>
          <w:rFonts w:eastAsia="Cambria" w:cs="Calibri"/>
          <w:color w:val="000000"/>
          <w:szCs w:val="20"/>
        </w:rPr>
        <w:t>Feigenblatt</w:t>
      </w:r>
      <w:proofErr w:type="spellEnd"/>
      <w:r w:rsidRPr="00607B40">
        <w:rPr>
          <w:rFonts w:eastAsia="Cambria" w:cs="Calibri"/>
          <w:color w:val="000000"/>
          <w:szCs w:val="20"/>
        </w:rPr>
        <w:t xml:space="preserve">, </w:t>
      </w:r>
      <w:r w:rsidRPr="00607B40">
        <w:rPr>
          <w:rFonts w:eastAsia="Cambria" w:cs="Calibri"/>
          <w:szCs w:val="20"/>
        </w:rPr>
        <w:t>“</w:t>
      </w:r>
      <w:r w:rsidRPr="00607B40">
        <w:rPr>
          <w:rFonts w:eastAsia="Cambria" w:cs="Calibri"/>
          <w:color w:val="000000"/>
          <w:szCs w:val="20"/>
        </w:rPr>
        <w:t>Breaking the silence around sextortion: The links between power, sex and corruption,</w:t>
      </w:r>
      <w:r w:rsidRPr="00607B40">
        <w:rPr>
          <w:rFonts w:eastAsia="Cambria" w:cs="Calibri"/>
          <w:szCs w:val="20"/>
        </w:rPr>
        <w:t xml:space="preserve">” </w:t>
      </w:r>
      <w:r w:rsidRPr="00607B40">
        <w:rPr>
          <w:rFonts w:eastAsia="Cambria" w:cs="Calibri"/>
          <w:color w:val="000000"/>
          <w:szCs w:val="20"/>
        </w:rPr>
        <w:t>Transparency International</w:t>
      </w:r>
      <w:r w:rsidRPr="00607B40">
        <w:rPr>
          <w:rFonts w:eastAsia="Cambria" w:cs="Calibri"/>
          <w:szCs w:val="20"/>
        </w:rPr>
        <w:t xml:space="preserve">, 2020. </w:t>
      </w:r>
      <w:hyperlink r:id="rId7">
        <w:r w:rsidRPr="00607B40">
          <w:rPr>
            <w:rFonts w:eastAsia="Cambria" w:cs="Calibri"/>
            <w:color w:val="0070C0"/>
            <w:szCs w:val="20"/>
            <w:u w:val="single"/>
          </w:rPr>
          <w:t>https://images.transparencycdn.org/images/2020_Report_BreakingSilenceAroundSextortion_English.pdf</w:t>
        </w:r>
      </w:hyperlink>
      <w:r w:rsidRPr="00607B40">
        <w:rPr>
          <w:rFonts w:eastAsia="Cambria" w:cs="Calibri"/>
          <w:szCs w:val="20"/>
        </w:rPr>
        <w:t>;</w:t>
      </w:r>
      <w:r w:rsidRPr="00607B40">
        <w:rPr>
          <w:rFonts w:eastAsia="Cambria" w:cs="Calibri"/>
          <w:color w:val="000000"/>
          <w:szCs w:val="20"/>
        </w:rPr>
        <w:t xml:space="preserve"> Marie </w:t>
      </w:r>
      <w:proofErr w:type="spellStart"/>
      <w:r w:rsidRPr="00607B40">
        <w:rPr>
          <w:rFonts w:eastAsia="Cambria" w:cs="Calibri"/>
          <w:color w:val="000000"/>
          <w:szCs w:val="20"/>
        </w:rPr>
        <w:t>Chêne</w:t>
      </w:r>
      <w:proofErr w:type="spellEnd"/>
      <w:r w:rsidRPr="00607B40">
        <w:rPr>
          <w:rFonts w:eastAsia="Cambria" w:cs="Calibri"/>
          <w:color w:val="000000"/>
          <w:szCs w:val="20"/>
        </w:rPr>
        <w:t xml:space="preserve">, </w:t>
      </w:r>
      <w:r w:rsidRPr="00607B40">
        <w:rPr>
          <w:rFonts w:eastAsia="Cambria" w:cs="Calibri"/>
          <w:szCs w:val="20"/>
        </w:rPr>
        <w:t>“</w:t>
      </w:r>
      <w:r w:rsidRPr="00607B40">
        <w:rPr>
          <w:rFonts w:eastAsia="Cambria" w:cs="Calibri"/>
          <w:color w:val="000000"/>
          <w:szCs w:val="20"/>
        </w:rPr>
        <w:t>Finding a Voice, Seeking Justice: The Barriers Women Face to Reporting Corruption in the European Union,</w:t>
      </w:r>
      <w:r w:rsidRPr="00607B40">
        <w:rPr>
          <w:rFonts w:eastAsia="Cambria" w:cs="Calibri"/>
          <w:szCs w:val="20"/>
        </w:rPr>
        <w:t>”</w:t>
      </w:r>
      <w:r w:rsidRPr="00607B40">
        <w:rPr>
          <w:rFonts w:eastAsia="Cambria" w:cs="Calibri"/>
          <w:color w:val="000000"/>
          <w:szCs w:val="20"/>
        </w:rPr>
        <w:t xml:space="preserve"> Transparency International</w:t>
      </w:r>
      <w:r w:rsidRPr="00607B40">
        <w:rPr>
          <w:rFonts w:eastAsia="Cambria" w:cs="Calibri"/>
          <w:szCs w:val="20"/>
        </w:rPr>
        <w:t xml:space="preserve">, 2021. </w:t>
      </w:r>
      <w:hyperlink r:id="rId8">
        <w:r w:rsidRPr="00607B40">
          <w:rPr>
            <w:rFonts w:eastAsia="Cambria" w:cs="Calibri"/>
            <w:color w:val="0070C0"/>
            <w:szCs w:val="20"/>
            <w:u w:val="single"/>
          </w:rPr>
          <w:t>https://images.transparencycdn.org/images/2021_FindingVoiceSeekingJustice_PositionPaper_Eng.pdf</w:t>
        </w:r>
      </w:hyperlink>
      <w:r w:rsidRPr="00607B40">
        <w:rPr>
          <w:rFonts w:eastAsia="Cambria" w:cs="Calibri"/>
          <w:szCs w:val="20"/>
        </w:rPr>
        <w:t>;</w:t>
      </w:r>
      <w:r w:rsidRPr="00607B40">
        <w:rPr>
          <w:rFonts w:eastAsia="Cambria" w:cs="Calibri"/>
          <w:color w:val="000000"/>
          <w:szCs w:val="20"/>
        </w:rPr>
        <w:t xml:space="preserve"> Aksel Sundström</w:t>
      </w:r>
      <w:r w:rsidRPr="00607B40">
        <w:rPr>
          <w:rFonts w:eastAsia="Cambria" w:cs="Calibri"/>
          <w:szCs w:val="20"/>
        </w:rPr>
        <w:t xml:space="preserve"> </w:t>
      </w:r>
      <w:r w:rsidRPr="00607B40">
        <w:rPr>
          <w:rFonts w:eastAsia="Cambria" w:cs="Calibri"/>
          <w:color w:val="000000"/>
          <w:szCs w:val="20"/>
        </w:rPr>
        <w:t xml:space="preserve">and Lena </w:t>
      </w:r>
      <w:proofErr w:type="spellStart"/>
      <w:r w:rsidRPr="00607B40">
        <w:rPr>
          <w:rFonts w:eastAsia="Cambria" w:cs="Calibri"/>
          <w:color w:val="000000"/>
          <w:szCs w:val="20"/>
        </w:rPr>
        <w:t>Wängnerud</w:t>
      </w:r>
      <w:proofErr w:type="spellEnd"/>
      <w:r w:rsidRPr="00607B40">
        <w:rPr>
          <w:rFonts w:eastAsia="Cambria" w:cs="Calibri"/>
          <w:color w:val="000000"/>
          <w:szCs w:val="20"/>
        </w:rPr>
        <w:t xml:space="preserve">, </w:t>
      </w:r>
      <w:r w:rsidRPr="00607B40">
        <w:rPr>
          <w:rFonts w:eastAsia="Cambria" w:cs="Calibri"/>
          <w:szCs w:val="20"/>
        </w:rPr>
        <w:t>“</w:t>
      </w:r>
      <w:r w:rsidRPr="00607B40">
        <w:rPr>
          <w:rFonts w:eastAsia="Cambria" w:cs="Calibri"/>
          <w:color w:val="000000"/>
          <w:szCs w:val="20"/>
        </w:rPr>
        <w:t xml:space="preserve">Sexual forms of corruption and sextortion: </w:t>
      </w:r>
      <w:r w:rsidRPr="00607B40">
        <w:rPr>
          <w:rFonts w:eastAsia="Cambria" w:cs="Calibri"/>
          <w:szCs w:val="20"/>
        </w:rPr>
        <w:t>H</w:t>
      </w:r>
      <w:r w:rsidRPr="00607B40">
        <w:rPr>
          <w:rFonts w:eastAsia="Cambria" w:cs="Calibri"/>
          <w:color w:val="000000"/>
          <w:szCs w:val="20"/>
        </w:rPr>
        <w:t>ow to expand research in a sensitive area,</w:t>
      </w:r>
      <w:r w:rsidRPr="00607B40">
        <w:rPr>
          <w:rFonts w:eastAsia="Cambria" w:cs="Calibri"/>
          <w:szCs w:val="20"/>
        </w:rPr>
        <w:t>”</w:t>
      </w:r>
      <w:r w:rsidRPr="00607B40">
        <w:rPr>
          <w:rFonts w:eastAsia="Cambria" w:cs="Calibri"/>
          <w:color w:val="000000"/>
          <w:szCs w:val="20"/>
        </w:rPr>
        <w:t xml:space="preserve"> Quality of Government Institute University </w:t>
      </w:r>
      <w:r w:rsidRPr="00607B40">
        <w:rPr>
          <w:rFonts w:eastAsia="Cambria" w:cs="Calibri"/>
          <w:szCs w:val="20"/>
        </w:rPr>
        <w:t>of Gothenburg</w:t>
      </w:r>
      <w:r w:rsidRPr="00607B40">
        <w:rPr>
          <w:rFonts w:eastAsia="Cambria" w:cs="Calibri"/>
          <w:color w:val="000000"/>
          <w:szCs w:val="20"/>
        </w:rPr>
        <w:t>, 2021</w:t>
      </w:r>
      <w:r w:rsidRPr="00607B40">
        <w:rPr>
          <w:rFonts w:eastAsia="Cambria" w:cs="Calibri"/>
          <w:szCs w:val="20"/>
        </w:rPr>
        <w:t xml:space="preserve">. </w:t>
      </w:r>
      <w:hyperlink r:id="rId9">
        <w:r w:rsidRPr="00607B40">
          <w:rPr>
            <w:rFonts w:eastAsia="Cambria" w:cs="Calibri"/>
            <w:color w:val="0070C0"/>
            <w:szCs w:val="20"/>
            <w:u w:val="single"/>
          </w:rPr>
          <w:t>https://www.gu.se/sites/default/files/2021-12/2021_10_Sundstrom_Wangnerud.pdf</w:t>
        </w:r>
      </w:hyperlink>
      <w:r w:rsidRPr="00607B40">
        <w:rPr>
          <w:rFonts w:eastAsia="Cambria" w:cs="Calibri"/>
          <w:szCs w:val="20"/>
        </w:rPr>
        <w:t>.</w:t>
      </w:r>
    </w:p>
  </w:footnote>
  <w:footnote w:id="5">
    <w:p w14:paraId="318D047A" w14:textId="77777777" w:rsidR="002340F0" w:rsidRPr="00607B40" w:rsidRDefault="002340F0" w:rsidP="002340F0">
      <w:pPr>
        <w:pBdr>
          <w:top w:val="nil"/>
          <w:left w:val="nil"/>
          <w:bottom w:val="nil"/>
          <w:right w:val="nil"/>
          <w:between w:val="nil"/>
        </w:pBdr>
        <w:spacing w:after="0" w:line="240" w:lineRule="auto"/>
        <w:rPr>
          <w:rFonts w:eastAsia="Cambria" w:cs="Calibri"/>
          <w:color w:val="000000"/>
          <w:szCs w:val="20"/>
        </w:rPr>
      </w:pPr>
      <w:r w:rsidRPr="00607B40">
        <w:rPr>
          <w:rStyle w:val="FootnoteReference"/>
          <w:rFonts w:cs="Calibri"/>
          <w:color w:val="000000" w:themeColor="text1"/>
          <w:szCs w:val="20"/>
        </w:rPr>
        <w:footnoteRef/>
      </w:r>
      <w:r w:rsidRPr="00607B40">
        <w:rPr>
          <w:rFonts w:eastAsia="Cambria" w:cs="Calibri"/>
          <w:color w:val="000000" w:themeColor="text1"/>
          <w:szCs w:val="20"/>
        </w:rPr>
        <w:t xml:space="preserve"> Guilherme </w:t>
      </w:r>
      <w:r w:rsidRPr="00607B40">
        <w:rPr>
          <w:rFonts w:eastAsia="Cambria" w:cs="Calibri"/>
          <w:color w:val="000000"/>
          <w:szCs w:val="20"/>
        </w:rPr>
        <w:t xml:space="preserve">France, </w:t>
      </w:r>
      <w:r w:rsidRPr="00607B40">
        <w:rPr>
          <w:rFonts w:eastAsia="Cambria" w:cs="Calibri"/>
          <w:szCs w:val="20"/>
        </w:rPr>
        <w:t>“</w:t>
      </w:r>
      <w:r w:rsidRPr="00607B40">
        <w:rPr>
          <w:rFonts w:eastAsia="Cambria" w:cs="Calibri"/>
          <w:color w:val="000000"/>
          <w:szCs w:val="20"/>
        </w:rPr>
        <w:t>Criminalising sextortion: Challenges and alternatives,</w:t>
      </w:r>
      <w:r w:rsidRPr="00607B40">
        <w:rPr>
          <w:rFonts w:eastAsia="Cambria" w:cs="Calibri"/>
          <w:szCs w:val="20"/>
        </w:rPr>
        <w:t>”</w:t>
      </w:r>
      <w:r w:rsidRPr="00607B40">
        <w:rPr>
          <w:rFonts w:eastAsia="Cambria" w:cs="Calibri"/>
          <w:color w:val="000000"/>
          <w:szCs w:val="20"/>
        </w:rPr>
        <w:t xml:space="preserve"> Transparency International</w:t>
      </w:r>
      <w:r w:rsidRPr="00607B40">
        <w:rPr>
          <w:rFonts w:eastAsia="Cambria" w:cs="Calibri"/>
          <w:szCs w:val="20"/>
        </w:rPr>
        <w:t xml:space="preserve"> </w:t>
      </w:r>
      <w:r w:rsidRPr="00607B40">
        <w:rPr>
          <w:rFonts w:eastAsia="Cambria" w:cs="Calibri"/>
          <w:color w:val="000000"/>
          <w:szCs w:val="20"/>
        </w:rPr>
        <w:t xml:space="preserve">Anti-Corruption Helpdesk, 2022. </w:t>
      </w:r>
      <w:hyperlink r:id="rId10">
        <w:r w:rsidRPr="00607B40">
          <w:rPr>
            <w:rFonts w:eastAsia="Cambria" w:cs="Calibri"/>
            <w:color w:val="0070C0"/>
            <w:szCs w:val="20"/>
            <w:u w:val="single"/>
          </w:rPr>
          <w:t>ht</w:t>
        </w:r>
      </w:hyperlink>
      <w:hyperlink r:id="rId11">
        <w:r w:rsidRPr="00607B40">
          <w:rPr>
            <w:rFonts w:eastAsia="Cambria" w:cs="Calibri"/>
            <w:color w:val="0070C0"/>
            <w:szCs w:val="20"/>
            <w:u w:val="single"/>
          </w:rPr>
          <w:t>tps://knowledgehub.transparency.org/assets/uploads/kproducts/Criminalising-sextortion_final_10.06.2022.pdf</w:t>
        </w:r>
      </w:hyperlink>
      <w:r w:rsidRPr="00607B40">
        <w:rPr>
          <w:rFonts w:eastAsia="Cambria" w:cs="Calibri"/>
          <w:szCs w:val="20"/>
        </w:rPr>
        <w:t>;</w:t>
      </w:r>
      <w:r w:rsidRPr="00607B40">
        <w:rPr>
          <w:rFonts w:eastAsia="Cambria" w:cs="Calibri"/>
          <w:color w:val="000000"/>
          <w:szCs w:val="20"/>
        </w:rPr>
        <w:t xml:space="preserve"> </w:t>
      </w:r>
      <w:r w:rsidRPr="00607B40">
        <w:rPr>
          <w:rFonts w:eastAsia="Cambria" w:cs="Calibri"/>
          <w:szCs w:val="20"/>
        </w:rPr>
        <w:t>Transparency International. “Petty Corruption,” Transparency International.</w:t>
      </w:r>
      <w:hyperlink r:id="rId12">
        <w:r w:rsidRPr="00607B40">
          <w:rPr>
            <w:rFonts w:eastAsia="Cambria" w:cs="Calibri"/>
            <w:szCs w:val="20"/>
          </w:rPr>
          <w:t xml:space="preserve"> </w:t>
        </w:r>
      </w:hyperlink>
      <w:hyperlink r:id="rId13">
        <w:r w:rsidRPr="00607B40">
          <w:rPr>
            <w:rFonts w:eastAsia="Cambria" w:cs="Calibri"/>
            <w:color w:val="1155CC"/>
            <w:szCs w:val="20"/>
            <w:u w:val="single"/>
          </w:rPr>
          <w:t>https://www.transparency.org/en/corruptionary/petty-corruption</w:t>
        </w:r>
      </w:hyperlink>
      <w:r w:rsidRPr="00607B40">
        <w:rPr>
          <w:rFonts w:eastAsia="Cambria" w:cs="Calibri"/>
          <w:szCs w:val="20"/>
        </w:rPr>
        <w:t>.</w:t>
      </w:r>
    </w:p>
  </w:footnote>
  <w:footnote w:id="6">
    <w:p w14:paraId="09F17BCA" w14:textId="77777777" w:rsidR="002340F0" w:rsidRPr="00607B40" w:rsidRDefault="002340F0" w:rsidP="002340F0">
      <w:pPr>
        <w:pBdr>
          <w:top w:val="nil"/>
          <w:left w:val="nil"/>
          <w:bottom w:val="nil"/>
          <w:right w:val="nil"/>
          <w:between w:val="nil"/>
        </w:pBdr>
        <w:spacing w:after="0" w:line="240" w:lineRule="auto"/>
        <w:rPr>
          <w:rFonts w:eastAsia="Cambria" w:cs="Calibri"/>
          <w:szCs w:val="20"/>
          <w:highlight w:val="white"/>
        </w:rPr>
      </w:pPr>
      <w:r w:rsidRPr="00607B40">
        <w:rPr>
          <w:rStyle w:val="FootnoteReference"/>
          <w:rFonts w:cs="Calibri"/>
          <w:color w:val="000000" w:themeColor="text1"/>
          <w:szCs w:val="20"/>
        </w:rPr>
        <w:footnoteRef/>
      </w:r>
      <w:r w:rsidRPr="00607B40">
        <w:rPr>
          <w:rFonts w:eastAsia="Cambria" w:cs="Calibri"/>
          <w:color w:val="000000" w:themeColor="text1"/>
          <w:szCs w:val="20"/>
        </w:rPr>
        <w:t xml:space="preserve"> Ann </w:t>
      </w:r>
      <w:r w:rsidRPr="00607B40">
        <w:rPr>
          <w:rFonts w:eastAsia="Cambria" w:cs="Calibri"/>
          <w:szCs w:val="20"/>
          <w:highlight w:val="white"/>
        </w:rPr>
        <w:t xml:space="preserve">Towns, “Prestige, immunity and diplomats: Understanding sexual corruption,” In </w:t>
      </w:r>
      <w:r w:rsidRPr="00607B40">
        <w:rPr>
          <w:rFonts w:eastAsia="Cambria" w:cs="Calibri"/>
          <w:i/>
          <w:iCs/>
          <w:szCs w:val="20"/>
          <w:highlight w:val="white"/>
        </w:rPr>
        <w:t>Elites, institutions and the quality of government</w:t>
      </w:r>
      <w:r w:rsidRPr="00607B40">
        <w:rPr>
          <w:rFonts w:eastAsia="Cambria" w:cs="Calibri"/>
          <w:szCs w:val="20"/>
          <w:highlight w:val="white"/>
        </w:rPr>
        <w:t xml:space="preserve">, edited by C. Dahlström and L. </w:t>
      </w:r>
      <w:proofErr w:type="spellStart"/>
      <w:r w:rsidRPr="00607B40">
        <w:rPr>
          <w:rFonts w:eastAsia="Cambria" w:cs="Calibri"/>
          <w:szCs w:val="20"/>
          <w:highlight w:val="white"/>
        </w:rPr>
        <w:t>Wängerud</w:t>
      </w:r>
      <w:proofErr w:type="spellEnd"/>
      <w:r w:rsidRPr="00607B40">
        <w:rPr>
          <w:rFonts w:eastAsia="Cambria" w:cs="Calibri"/>
          <w:szCs w:val="20"/>
          <w:highlight w:val="white"/>
        </w:rPr>
        <w:t xml:space="preserve"> (Palgrave Macmillan, London, 2015); </w:t>
      </w:r>
    </w:p>
    <w:p w14:paraId="1026A218" w14:textId="77777777" w:rsidR="002340F0" w:rsidRPr="00607B40" w:rsidRDefault="002340F0" w:rsidP="002340F0">
      <w:pPr>
        <w:pBdr>
          <w:top w:val="nil"/>
          <w:left w:val="nil"/>
          <w:bottom w:val="nil"/>
          <w:right w:val="nil"/>
          <w:between w:val="nil"/>
        </w:pBdr>
        <w:spacing w:after="0" w:line="240" w:lineRule="auto"/>
        <w:rPr>
          <w:rFonts w:eastAsia="Cambria" w:cs="Calibri"/>
          <w:color w:val="000000"/>
          <w:szCs w:val="20"/>
        </w:rPr>
      </w:pPr>
      <w:r w:rsidRPr="00607B40">
        <w:rPr>
          <w:rFonts w:eastAsia="Cambria" w:cs="Calibri"/>
          <w:szCs w:val="20"/>
          <w:highlight w:val="white"/>
        </w:rPr>
        <w:t>Ellie McDonald, Matthew Jenkins and Jim Fitzgerald, “Defying Exclusion. Stories and insights on the links between discrimination and corruption,” Transparency International and Equal Rights Trust, 2021</w:t>
      </w:r>
      <w:r w:rsidRPr="00607B40">
        <w:rPr>
          <w:rFonts w:eastAsia="Cambria" w:cs="Calibri"/>
          <w:color w:val="002060"/>
          <w:szCs w:val="20"/>
          <w:highlight w:val="white"/>
        </w:rPr>
        <w:t xml:space="preserve">. </w:t>
      </w:r>
      <w:hyperlink r:id="rId14">
        <w:r w:rsidRPr="00607B40">
          <w:rPr>
            <w:rFonts w:eastAsia="Cambria" w:cs="Calibri"/>
            <w:color w:val="1155CC"/>
            <w:szCs w:val="20"/>
            <w:highlight w:val="white"/>
            <w:u w:val="single"/>
          </w:rPr>
          <w:t>https://files.transparencycdn.org/images/TI-ERT_Defying-Exclusion_web-accessible-v2.pdf</w:t>
        </w:r>
      </w:hyperlink>
      <w:r w:rsidRPr="00607B40">
        <w:rPr>
          <w:rFonts w:eastAsia="Cambria" w:cs="Calibri"/>
          <w:color w:val="002060"/>
          <w:szCs w:val="20"/>
          <w:highlight w:val="white"/>
          <w:u w:val="single"/>
        </w:rPr>
        <w:t>;</w:t>
      </w:r>
      <w:r w:rsidRPr="00607B40">
        <w:rPr>
          <w:rFonts w:eastAsia="Cambria" w:cs="Calibri"/>
          <w:szCs w:val="20"/>
          <w:highlight w:val="white"/>
        </w:rPr>
        <w:t xml:space="preserve"> Ortrun Merkle, Julia Reinold and Melissa Siegel, “A gender perspective on corruption encountered during forced and irregular migration,” Deutsche Gesellschaft für Internationale Zusammenarbeit, 2017. </w:t>
      </w:r>
      <w:hyperlink r:id="rId15">
        <w:r w:rsidRPr="00607B40">
          <w:rPr>
            <w:rFonts w:eastAsia="Cambria" w:cs="Calibri"/>
            <w:color w:val="1155CC"/>
            <w:szCs w:val="20"/>
            <w:highlight w:val="white"/>
            <w:u w:val="single"/>
          </w:rPr>
          <w:t>https://i.unu.edu/media/migration.unu.edu/attachment/4665/A-Gender-Perspective-on-Corruption-Encountered-during-Forced-and-Irregular-Migration.pdf</w:t>
        </w:r>
      </w:hyperlink>
      <w:r w:rsidRPr="00607B40">
        <w:rPr>
          <w:rFonts w:eastAsia="Cambria" w:cs="Calibri"/>
          <w:color w:val="002060"/>
          <w:szCs w:val="20"/>
          <w:highlight w:val="white"/>
        </w:rPr>
        <w:t xml:space="preserve">; </w:t>
      </w:r>
      <w:r w:rsidRPr="00607B40">
        <w:rPr>
          <w:rFonts w:eastAsia="Cambria" w:cs="Calibri"/>
          <w:szCs w:val="20"/>
          <w:highlight w:val="white"/>
        </w:rPr>
        <w:t xml:space="preserve">International Association of Women Judges. “Stopping the abuse of power through sexual exploitation: Naming, shaming and ending sextortion,” International Association of Women Judges, 2012. </w:t>
      </w:r>
      <w:hyperlink r:id="rId16">
        <w:r w:rsidRPr="00607B40">
          <w:rPr>
            <w:rFonts w:eastAsia="Cambria" w:cs="Calibri"/>
            <w:color w:val="1155CC"/>
            <w:szCs w:val="20"/>
            <w:highlight w:val="white"/>
            <w:u w:val="single"/>
          </w:rPr>
          <w:t>https://www.unodc.org/res/ji/import/guide/naming_shaming_ending_sextortion/naming_shaming_ending_sextortion.pdf</w:t>
        </w:r>
      </w:hyperlink>
      <w:r w:rsidRPr="00607B40">
        <w:rPr>
          <w:rFonts w:eastAsia="Cambria" w:cs="Calibri"/>
          <w:color w:val="002060"/>
          <w:szCs w:val="20"/>
          <w:highlight w:val="white"/>
        </w:rPr>
        <w:t xml:space="preserve">; </w:t>
      </w:r>
      <w:r w:rsidRPr="00607B40">
        <w:rPr>
          <w:rFonts w:eastAsia="Cambria" w:cs="Calibri"/>
          <w:szCs w:val="20"/>
          <w:highlight w:val="white"/>
        </w:rPr>
        <w:t>Louise</w:t>
      </w:r>
      <w:r w:rsidRPr="00607B40">
        <w:rPr>
          <w:rFonts w:eastAsia="Cambria" w:cs="Calibri"/>
          <w:color w:val="002060"/>
          <w:szCs w:val="20"/>
          <w:highlight w:val="white"/>
        </w:rPr>
        <w:t xml:space="preserve"> </w:t>
      </w:r>
      <w:r w:rsidRPr="00607B40">
        <w:rPr>
          <w:rFonts w:eastAsia="Cambria" w:cs="Calibri"/>
          <w:szCs w:val="20"/>
          <w:highlight w:val="white"/>
        </w:rPr>
        <w:t xml:space="preserve">Morley, “Sex, grades and power in higher education in Ghana and Tanzania,” Cambridge Journal of Education 41, no.1 (2011): 101–115. </w:t>
      </w:r>
      <w:hyperlink r:id="rId17">
        <w:r w:rsidRPr="00607B40">
          <w:rPr>
            <w:rFonts w:eastAsia="Cambria" w:cs="Calibri"/>
            <w:color w:val="1155CC"/>
            <w:szCs w:val="20"/>
            <w:highlight w:val="white"/>
            <w:u w:val="single"/>
          </w:rPr>
          <w:t>https://www.tandfonline.com/doi/full/10.1080/0305764X.2010.549453</w:t>
        </w:r>
      </w:hyperlink>
      <w:r w:rsidRPr="00607B40">
        <w:rPr>
          <w:rFonts w:eastAsia="Cambria" w:cs="Calibri"/>
          <w:szCs w:val="20"/>
          <w:highlight w:val="white"/>
        </w:rPr>
        <w:t xml:space="preserve">. </w:t>
      </w:r>
    </w:p>
  </w:footnote>
  <w:footnote w:id="7">
    <w:p w14:paraId="35251E8E" w14:textId="77777777" w:rsidR="002340F0" w:rsidRPr="00607B40" w:rsidRDefault="002340F0" w:rsidP="002340F0">
      <w:pPr>
        <w:pBdr>
          <w:top w:val="nil"/>
          <w:left w:val="nil"/>
          <w:bottom w:val="nil"/>
          <w:right w:val="nil"/>
          <w:between w:val="nil"/>
        </w:pBdr>
        <w:spacing w:after="0" w:line="240" w:lineRule="auto"/>
        <w:rPr>
          <w:rFonts w:eastAsia="Cambria" w:cs="Calibri"/>
          <w:szCs w:val="20"/>
        </w:rPr>
      </w:pPr>
      <w:r w:rsidRPr="00607B40">
        <w:rPr>
          <w:rStyle w:val="FootnoteReference"/>
          <w:rFonts w:cs="Calibri"/>
          <w:color w:val="000000" w:themeColor="text1"/>
          <w:szCs w:val="20"/>
        </w:rPr>
        <w:footnoteRef/>
      </w:r>
      <w:r w:rsidRPr="00607B40">
        <w:rPr>
          <w:rFonts w:eastAsia="Cambria" w:cs="Calibri"/>
          <w:color w:val="000000" w:themeColor="text1"/>
          <w:szCs w:val="20"/>
        </w:rPr>
        <w:t xml:space="preserve"> Sara Carnegie</w:t>
      </w:r>
      <w:r w:rsidRPr="00607B40">
        <w:rPr>
          <w:rFonts w:eastAsia="Cambria" w:cs="Calibri"/>
          <w:color w:val="000000"/>
          <w:szCs w:val="20"/>
        </w:rPr>
        <w:t xml:space="preserve">, </w:t>
      </w:r>
      <w:r w:rsidRPr="00607B40">
        <w:rPr>
          <w:rFonts w:eastAsia="Cambria" w:cs="Calibri"/>
          <w:szCs w:val="20"/>
        </w:rPr>
        <w:t>“</w:t>
      </w:r>
      <w:r w:rsidRPr="00607B40">
        <w:rPr>
          <w:rFonts w:eastAsia="Cambria" w:cs="Calibri"/>
          <w:color w:val="000000"/>
          <w:szCs w:val="20"/>
        </w:rPr>
        <w:t>Sextortion: a crime of corruption and sexual exploitation,</w:t>
      </w:r>
      <w:r w:rsidRPr="00607B40">
        <w:rPr>
          <w:rFonts w:eastAsia="Cambria" w:cs="Calibri"/>
          <w:szCs w:val="20"/>
        </w:rPr>
        <w:t>”</w:t>
      </w:r>
      <w:r w:rsidRPr="00607B40">
        <w:rPr>
          <w:rFonts w:eastAsia="Cambria" w:cs="Calibri"/>
          <w:color w:val="000000"/>
          <w:szCs w:val="20"/>
        </w:rPr>
        <w:t xml:space="preserve"> International Bar Association, 2019. </w:t>
      </w:r>
      <w:hyperlink r:id="rId18">
        <w:r w:rsidRPr="00607B40">
          <w:rPr>
            <w:rFonts w:eastAsia="Cambria" w:cs="Calibri"/>
            <w:color w:val="0070C0"/>
            <w:szCs w:val="20"/>
            <w:u w:val="single"/>
          </w:rPr>
          <w:t>https://www.ibanet.org/MediaHandler?id=E5E451C2-A883-4518-B0ED-5AAAEBCDD5AA</w:t>
        </w:r>
      </w:hyperlink>
      <w:r w:rsidRPr="00607B40">
        <w:rPr>
          <w:rFonts w:eastAsia="Cambria" w:cs="Calibri"/>
          <w:szCs w:val="20"/>
        </w:rPr>
        <w:t>;</w:t>
      </w:r>
      <w:r w:rsidRPr="00607B40">
        <w:rPr>
          <w:rFonts w:eastAsia="Cambria" w:cs="Calibri"/>
          <w:color w:val="000000"/>
          <w:szCs w:val="20"/>
        </w:rPr>
        <w:t xml:space="preserve"> O</w:t>
      </w:r>
      <w:r w:rsidRPr="00607B40">
        <w:rPr>
          <w:rFonts w:eastAsia="Cambria" w:cs="Calibri"/>
          <w:szCs w:val="20"/>
        </w:rPr>
        <w:t xml:space="preserve">rtrun Merkle, Zobair Hasan, Debora Gonzalez, Alfredo Hernández Sánchez, </w:t>
      </w:r>
      <w:proofErr w:type="spellStart"/>
      <w:r w:rsidRPr="00607B40">
        <w:rPr>
          <w:rFonts w:eastAsia="Cambria" w:cs="Calibri"/>
          <w:szCs w:val="20"/>
        </w:rPr>
        <w:t>Umrbek</w:t>
      </w:r>
      <w:proofErr w:type="spellEnd"/>
      <w:r w:rsidRPr="00607B40">
        <w:rPr>
          <w:rFonts w:eastAsia="Cambria" w:cs="Calibri"/>
          <w:szCs w:val="20"/>
        </w:rPr>
        <w:t xml:space="preserve"> </w:t>
      </w:r>
      <w:proofErr w:type="spellStart"/>
      <w:r w:rsidRPr="00607B40">
        <w:rPr>
          <w:rFonts w:eastAsia="Cambria" w:cs="Calibri"/>
          <w:szCs w:val="20"/>
        </w:rPr>
        <w:t>Allakulov</w:t>
      </w:r>
      <w:proofErr w:type="spellEnd"/>
      <w:r w:rsidRPr="00607B40">
        <w:rPr>
          <w:rFonts w:eastAsia="Cambria" w:cs="Calibri"/>
          <w:szCs w:val="20"/>
        </w:rPr>
        <w:t xml:space="preserve"> and Sifat E. Rabbi, “When vulnerabilities are exploited—The role of sextortion in the WASH sector in Bangladesh,” Frontiers in Water 5, (2023): 1048594. </w:t>
      </w:r>
      <w:hyperlink r:id="rId19">
        <w:r w:rsidRPr="00607B40">
          <w:rPr>
            <w:rFonts w:eastAsia="Cambria" w:cs="Calibri"/>
            <w:color w:val="1155CC"/>
            <w:szCs w:val="20"/>
            <w:u w:val="single"/>
            <w:lang w:val="de-AT"/>
          </w:rPr>
          <w:t>https://www.frontiersin.org/journals/water/articles/10.3389/frwa.2023.1048594/fulL</w:t>
        </w:r>
      </w:hyperlink>
      <w:r w:rsidRPr="00607B40">
        <w:rPr>
          <w:rFonts w:eastAsia="Cambria" w:cs="Calibri"/>
          <w:szCs w:val="20"/>
          <w:lang w:val="de-AT"/>
        </w:rPr>
        <w:t xml:space="preserve">; Ortrun </w:t>
      </w:r>
      <w:r w:rsidRPr="00607B40">
        <w:rPr>
          <w:rFonts w:eastAsia="Cambria" w:cs="Calibri"/>
          <w:color w:val="18110A"/>
          <w:szCs w:val="20"/>
          <w:lang w:val="de-AT"/>
        </w:rPr>
        <w:t xml:space="preserve">Merkle, "66: </w:t>
      </w:r>
      <w:proofErr w:type="spellStart"/>
      <w:r w:rsidRPr="00607B40">
        <w:rPr>
          <w:rFonts w:eastAsia="Cambria" w:cs="Calibri"/>
          <w:color w:val="18110A"/>
          <w:szCs w:val="20"/>
          <w:lang w:val="de-AT"/>
        </w:rPr>
        <w:t>Sextortion</w:t>
      </w:r>
      <w:proofErr w:type="spellEnd"/>
      <w:r w:rsidRPr="00607B40">
        <w:rPr>
          <w:rFonts w:eastAsia="Cambria" w:cs="Calibri"/>
          <w:color w:val="18110A"/>
          <w:szCs w:val="20"/>
          <w:lang w:val="de-AT"/>
        </w:rPr>
        <w:t xml:space="preserve">". </w:t>
      </w:r>
      <w:r w:rsidRPr="00607B40">
        <w:rPr>
          <w:rFonts w:eastAsia="Cambria" w:cs="Calibri"/>
          <w:color w:val="18110A"/>
          <w:szCs w:val="20"/>
        </w:rPr>
        <w:t xml:space="preserve">In </w:t>
      </w:r>
      <w:r w:rsidRPr="00607B40">
        <w:rPr>
          <w:rFonts w:eastAsia="Cambria" w:cs="Calibri"/>
          <w:i/>
          <w:iCs/>
          <w:color w:val="18110A"/>
          <w:szCs w:val="20"/>
        </w:rPr>
        <w:t>Elgar Encyclopaedia of Corruption and Society,</w:t>
      </w:r>
      <w:r w:rsidRPr="00607B40">
        <w:rPr>
          <w:rFonts w:eastAsia="Cambria" w:cs="Calibri"/>
          <w:color w:val="18110A"/>
          <w:szCs w:val="20"/>
        </w:rPr>
        <w:t xml:space="preserve"> (Edward Elgar Publishing, 2024)</w:t>
      </w:r>
      <w:r w:rsidRPr="00607B40">
        <w:rPr>
          <w:rFonts w:eastAsia="Cambria" w:cs="Calibri"/>
          <w:szCs w:val="20"/>
        </w:rPr>
        <w:t>;</w:t>
      </w:r>
      <w:r w:rsidRPr="00607B40">
        <w:rPr>
          <w:rFonts w:eastAsia="Cambria" w:cs="Calibri"/>
          <w:color w:val="000000"/>
          <w:szCs w:val="20"/>
        </w:rPr>
        <w:t xml:space="preserve"> Cent</w:t>
      </w:r>
      <w:r w:rsidRPr="00607B40">
        <w:rPr>
          <w:rFonts w:eastAsia="Cambria" w:cs="Calibri"/>
          <w:szCs w:val="20"/>
        </w:rPr>
        <w:t>re</w:t>
      </w:r>
      <w:r w:rsidRPr="00607B40">
        <w:rPr>
          <w:rFonts w:eastAsia="Cambria" w:cs="Calibri"/>
          <w:color w:val="000000"/>
          <w:szCs w:val="20"/>
        </w:rPr>
        <w:t xml:space="preserve"> for Equality and Justice, Sri Lanka, </w:t>
      </w:r>
      <w:r w:rsidRPr="00607B40">
        <w:rPr>
          <w:rFonts w:eastAsia="Cambria" w:cs="Calibri"/>
          <w:szCs w:val="20"/>
        </w:rPr>
        <w:t xml:space="preserve">“Sexual Bribery of Military Widows in Sri Lanka: Anuradhapura, Kurunegala and Galle Districts,” Centre for Equality and Justice, Sri Lanka, 2018. </w:t>
      </w:r>
      <w:hyperlink r:id="rId20">
        <w:r w:rsidRPr="00607B40">
          <w:rPr>
            <w:rFonts w:eastAsia="Cambria" w:cs="Calibri"/>
            <w:color w:val="467886"/>
            <w:szCs w:val="20"/>
            <w:u w:val="single"/>
          </w:rPr>
          <w:t>https://cejsrilanka.org/wp-content/uploads/Eng_Briefing-Paper_Sinhala_Sexual-Bribery-of-Military-Widows_Eng.pdf</w:t>
        </w:r>
      </w:hyperlink>
      <w:r w:rsidRPr="00607B40">
        <w:rPr>
          <w:rFonts w:eastAsia="Cambria" w:cs="Calibri"/>
          <w:szCs w:val="20"/>
        </w:rPr>
        <w:t>;</w:t>
      </w:r>
      <w:r w:rsidRPr="00607B40">
        <w:rPr>
          <w:rFonts w:eastAsia="Cambria" w:cs="Calibri"/>
          <w:color w:val="000000"/>
          <w:szCs w:val="20"/>
        </w:rPr>
        <w:t xml:space="preserve"> Jamie Bergin,</w:t>
      </w:r>
      <w:r w:rsidRPr="00607B40">
        <w:rPr>
          <w:rFonts w:eastAsia="Cambria" w:cs="Calibri"/>
          <w:szCs w:val="20"/>
        </w:rPr>
        <w:t xml:space="preserve"> “</w:t>
      </w:r>
      <w:r w:rsidRPr="00607B40">
        <w:rPr>
          <w:rFonts w:eastAsia="Cambria" w:cs="Calibri"/>
          <w:color w:val="000000"/>
          <w:szCs w:val="20"/>
        </w:rPr>
        <w:t>Left Behind: Corruption in Education and Health Services in Africa,</w:t>
      </w:r>
      <w:r w:rsidRPr="00607B40">
        <w:rPr>
          <w:rFonts w:eastAsia="Cambria" w:cs="Calibri"/>
          <w:szCs w:val="20"/>
        </w:rPr>
        <w:t>”</w:t>
      </w:r>
      <w:r w:rsidRPr="00607B40">
        <w:rPr>
          <w:rFonts w:eastAsia="Cambria" w:cs="Calibri"/>
          <w:color w:val="000000"/>
          <w:szCs w:val="20"/>
        </w:rPr>
        <w:t xml:space="preserve"> Transparency International, 2024</w:t>
      </w:r>
      <w:r w:rsidRPr="00607B40">
        <w:rPr>
          <w:rFonts w:eastAsia="Cambria" w:cs="Calibri"/>
          <w:szCs w:val="20"/>
        </w:rPr>
        <w:t>.</w:t>
      </w:r>
      <w:r w:rsidRPr="00607B40">
        <w:rPr>
          <w:rFonts w:eastAsia="Cambria" w:cs="Calibri"/>
          <w:color w:val="000000"/>
          <w:szCs w:val="20"/>
        </w:rPr>
        <w:t xml:space="preserve"> </w:t>
      </w:r>
      <w:hyperlink r:id="rId21">
        <w:r w:rsidRPr="00607B40">
          <w:rPr>
            <w:rFonts w:eastAsia="Cambria" w:cs="Calibri"/>
            <w:color w:val="1155CC"/>
            <w:szCs w:val="20"/>
            <w:u w:val="single"/>
          </w:rPr>
          <w:t>https://images.transparencycdn.org/images/Report-LeftBehind-Corruption-in-Africa.pdf</w:t>
        </w:r>
      </w:hyperlink>
      <w:r w:rsidRPr="00607B40">
        <w:rPr>
          <w:rFonts w:eastAsia="Cambria" w:cs="Calibri"/>
          <w:color w:val="0070C0"/>
          <w:szCs w:val="20"/>
          <w:u w:val="single"/>
        </w:rPr>
        <w:t>;</w:t>
      </w:r>
      <w:r w:rsidRPr="00607B40">
        <w:rPr>
          <w:rFonts w:eastAsia="Cambria" w:cs="Calibri"/>
          <w:szCs w:val="20"/>
        </w:rPr>
        <w:t xml:space="preserve"> Åsa </w:t>
      </w:r>
      <w:proofErr w:type="spellStart"/>
      <w:r w:rsidRPr="00607B40">
        <w:rPr>
          <w:rFonts w:eastAsia="Cambria" w:cs="Calibri"/>
          <w:szCs w:val="20"/>
        </w:rPr>
        <w:t>Eldén</w:t>
      </w:r>
      <w:proofErr w:type="spellEnd"/>
      <w:r w:rsidRPr="00607B40">
        <w:rPr>
          <w:rFonts w:eastAsia="Cambria" w:cs="Calibri"/>
          <w:szCs w:val="20"/>
        </w:rPr>
        <w:t xml:space="preserve"> and Elin </w:t>
      </w:r>
      <w:proofErr w:type="spellStart"/>
      <w:r w:rsidRPr="00607B40">
        <w:rPr>
          <w:rFonts w:eastAsia="Cambria" w:cs="Calibri"/>
          <w:szCs w:val="20"/>
        </w:rPr>
        <w:t>Bjarnegård</w:t>
      </w:r>
      <w:proofErr w:type="spellEnd"/>
      <w:r w:rsidRPr="00607B40">
        <w:rPr>
          <w:rFonts w:eastAsia="Cambria" w:cs="Calibri"/>
          <w:szCs w:val="20"/>
        </w:rPr>
        <w:t>, “Implementing Policy Against Sextortion in Tanzania: A follow-up study</w:t>
      </w:r>
      <w:r w:rsidRPr="00607B40">
        <w:rPr>
          <w:rFonts w:eastAsia="Cambria" w:cs="Calibri"/>
          <w:i/>
          <w:iCs/>
          <w:szCs w:val="20"/>
        </w:rPr>
        <w:t>,”</w:t>
      </w:r>
      <w:r w:rsidRPr="00607B40">
        <w:rPr>
          <w:rFonts w:eastAsia="Cambria" w:cs="Calibri"/>
          <w:szCs w:val="20"/>
        </w:rPr>
        <w:t xml:space="preserve"> The Expert Group for Aid Studies (EBA), 2022. </w:t>
      </w:r>
      <w:hyperlink r:id="rId22">
        <w:r w:rsidRPr="00607B40">
          <w:rPr>
            <w:rFonts w:eastAsia="Cambria" w:cs="Calibri"/>
            <w:color w:val="1155CC"/>
            <w:szCs w:val="20"/>
            <w:u w:val="single"/>
          </w:rPr>
          <w:t>https://eba.se/rapporter/implementing-policy-against-sextortion-in-tanzania-a-follow-up-study/20143/</w:t>
        </w:r>
      </w:hyperlink>
      <w:r w:rsidRPr="00607B40">
        <w:rPr>
          <w:rFonts w:eastAsia="Cambria" w:cs="Calibri"/>
          <w:szCs w:val="20"/>
        </w:rPr>
        <w:t>.</w:t>
      </w:r>
    </w:p>
  </w:footnote>
  <w:footnote w:id="8">
    <w:p w14:paraId="6C11EB06" w14:textId="77777777" w:rsidR="002340F0" w:rsidRPr="00607B40" w:rsidRDefault="002340F0" w:rsidP="002340F0">
      <w:pPr>
        <w:pBdr>
          <w:top w:val="nil"/>
          <w:left w:val="nil"/>
          <w:bottom w:val="nil"/>
          <w:right w:val="nil"/>
          <w:between w:val="nil"/>
        </w:pBdr>
        <w:spacing w:after="0" w:line="240" w:lineRule="auto"/>
        <w:rPr>
          <w:rFonts w:eastAsia="Cambria" w:cs="Calibri"/>
          <w:color w:val="000000"/>
          <w:szCs w:val="20"/>
        </w:rPr>
      </w:pPr>
      <w:r w:rsidRPr="00607B40">
        <w:rPr>
          <w:rStyle w:val="FootnoteReference"/>
          <w:rFonts w:cs="Calibri"/>
          <w:color w:val="000000" w:themeColor="text1"/>
          <w:szCs w:val="20"/>
        </w:rPr>
        <w:footnoteRef/>
      </w:r>
      <w:r w:rsidRPr="00607B40">
        <w:rPr>
          <w:rFonts w:eastAsia="Cambria" w:cs="Calibri"/>
          <w:color w:val="000000" w:themeColor="text1"/>
          <w:szCs w:val="20"/>
        </w:rPr>
        <w:t xml:space="preserve"> Transparency </w:t>
      </w:r>
      <w:r w:rsidRPr="00607B40">
        <w:rPr>
          <w:rFonts w:eastAsia="Cambria" w:cs="Calibri"/>
          <w:szCs w:val="20"/>
        </w:rPr>
        <w:t xml:space="preserve">International. “Gender and Corruption: Forms, Impact and Solutions.” Paper presented at CoSP8, Abu Dhabi, UNODC, 2019. </w:t>
      </w:r>
      <w:hyperlink r:id="rId23">
        <w:r w:rsidRPr="00607B40">
          <w:rPr>
            <w:rFonts w:eastAsia="Cambria" w:cs="Calibri"/>
            <w:color w:val="1155CC"/>
            <w:szCs w:val="20"/>
            <w:u w:val="single"/>
          </w:rPr>
          <w:t>https://www.unodc.org/documents/treaties/UNCAC/COSP/session8/V1911814e.pdf</w:t>
        </w:r>
      </w:hyperlink>
      <w:r w:rsidRPr="00607B40">
        <w:rPr>
          <w:rFonts w:eastAsia="Cambria" w:cs="Calibri"/>
          <w:szCs w:val="20"/>
        </w:rPr>
        <w:t xml:space="preserve">; Marija </w:t>
      </w:r>
      <w:proofErr w:type="spellStart"/>
      <w:r w:rsidRPr="00607B40">
        <w:rPr>
          <w:rFonts w:eastAsia="Cambria" w:cs="Calibri"/>
          <w:color w:val="000000"/>
          <w:szCs w:val="20"/>
        </w:rPr>
        <w:t>Risteka</w:t>
      </w:r>
      <w:proofErr w:type="spellEnd"/>
      <w:r w:rsidRPr="00607B40">
        <w:rPr>
          <w:rFonts w:eastAsia="Cambria" w:cs="Calibri"/>
          <w:szCs w:val="20"/>
        </w:rPr>
        <w:t xml:space="preserve"> and Ljupka </w:t>
      </w:r>
      <w:proofErr w:type="spellStart"/>
      <w:r w:rsidRPr="00607B40">
        <w:rPr>
          <w:rFonts w:eastAsia="Cambria" w:cs="Calibri"/>
          <w:color w:val="000000"/>
          <w:szCs w:val="20"/>
        </w:rPr>
        <w:t>Trajanovska</w:t>
      </w:r>
      <w:proofErr w:type="spellEnd"/>
      <w:r w:rsidRPr="00607B40">
        <w:rPr>
          <w:rFonts w:eastAsia="Cambria" w:cs="Calibri"/>
          <w:szCs w:val="20"/>
        </w:rPr>
        <w:t xml:space="preserve"> “</w:t>
      </w:r>
      <w:r w:rsidRPr="00607B40">
        <w:rPr>
          <w:rFonts w:eastAsia="Cambria" w:cs="Calibri"/>
          <w:color w:val="000000"/>
          <w:szCs w:val="20"/>
        </w:rPr>
        <w:t>Sexual extortion as an act of corruption: Legal and institutional response,</w:t>
      </w:r>
      <w:r w:rsidRPr="00607B40">
        <w:rPr>
          <w:rFonts w:eastAsia="Cambria" w:cs="Calibri"/>
          <w:szCs w:val="20"/>
        </w:rPr>
        <w:t>”</w:t>
      </w:r>
      <w:r w:rsidRPr="00607B40">
        <w:rPr>
          <w:rFonts w:eastAsia="Cambria" w:cs="Calibri"/>
          <w:color w:val="000000"/>
          <w:szCs w:val="20"/>
        </w:rPr>
        <w:t xml:space="preserve"> Organisation for Security and Co-operation in Europe (OSCE) Mission to Skopje, 2021. </w:t>
      </w:r>
      <w:hyperlink r:id="rId24">
        <w:r w:rsidRPr="00607B40">
          <w:rPr>
            <w:rFonts w:eastAsia="Cambria" w:cs="Calibri"/>
            <w:color w:val="0070C0"/>
            <w:szCs w:val="20"/>
            <w:u w:val="single"/>
          </w:rPr>
          <w:t>https://dksk.mk/wp-content/uploads/2022/03/Sextortion_EN_WEB_NEW-FINAL.pdf</w:t>
        </w:r>
      </w:hyperlink>
      <w:r w:rsidRPr="00607B40">
        <w:rPr>
          <w:rFonts w:eastAsia="Cambria" w:cs="Calibri"/>
          <w:szCs w:val="20"/>
        </w:rPr>
        <w:t>.</w:t>
      </w:r>
    </w:p>
  </w:footnote>
  <w:footnote w:id="9">
    <w:p w14:paraId="4B6F8888" w14:textId="77777777" w:rsidR="0071751D" w:rsidRPr="00607B40" w:rsidRDefault="0071751D" w:rsidP="0071751D">
      <w:pPr>
        <w:pBdr>
          <w:top w:val="nil"/>
          <w:left w:val="nil"/>
          <w:bottom w:val="nil"/>
          <w:right w:val="nil"/>
          <w:between w:val="nil"/>
        </w:pBdr>
        <w:spacing w:after="0" w:line="240" w:lineRule="auto"/>
        <w:rPr>
          <w:rFonts w:eastAsia="Cambria" w:cs="Calibri"/>
          <w:color w:val="000000"/>
          <w:szCs w:val="20"/>
        </w:rPr>
      </w:pPr>
      <w:r w:rsidRPr="00607B40">
        <w:rPr>
          <w:rStyle w:val="FootnoteReference"/>
          <w:rFonts w:cs="Calibri"/>
          <w:color w:val="000000" w:themeColor="text1"/>
          <w:szCs w:val="20"/>
        </w:rPr>
        <w:footnoteRef/>
      </w:r>
      <w:r w:rsidRPr="00607B40">
        <w:rPr>
          <w:rFonts w:eastAsia="Cambria" w:cs="Calibri"/>
          <w:color w:val="000000" w:themeColor="text1"/>
          <w:szCs w:val="20"/>
        </w:rPr>
        <w:t xml:space="preserve"> Guilherme </w:t>
      </w:r>
      <w:r w:rsidRPr="00607B40">
        <w:rPr>
          <w:rFonts w:eastAsia="Cambria" w:cs="Calibri"/>
          <w:szCs w:val="20"/>
        </w:rPr>
        <w:t xml:space="preserve">France, “Criminalising sextortion: Challenges and alternatives,” Transparency International Anti-Corruption Helpdesk, 2022. </w:t>
      </w:r>
      <w:hyperlink r:id="rId25">
        <w:r w:rsidRPr="00607B40">
          <w:rPr>
            <w:rFonts w:eastAsia="Cambria" w:cs="Calibri"/>
            <w:color w:val="0070C0"/>
            <w:szCs w:val="20"/>
            <w:u w:val="single"/>
          </w:rPr>
          <w:t>https://knowledgehub.transparency.org/assets/uploads/kproducts/Criminalising-sextortion_final_10.06.2022.pdf</w:t>
        </w:r>
      </w:hyperlink>
      <w:r w:rsidRPr="00607B40">
        <w:rPr>
          <w:rFonts w:eastAsia="Cambria" w:cs="Calibri"/>
          <w:szCs w:val="20"/>
        </w:rPr>
        <w:t>;</w:t>
      </w:r>
      <w:r w:rsidRPr="00607B40">
        <w:rPr>
          <w:rFonts w:eastAsia="Cambria" w:cs="Calibri"/>
          <w:color w:val="000000"/>
          <w:szCs w:val="20"/>
        </w:rPr>
        <w:t xml:space="preserve"> Jessie Bullock </w:t>
      </w:r>
      <w:r w:rsidRPr="00607B40">
        <w:rPr>
          <w:rFonts w:eastAsia="Cambria" w:cs="Calibri"/>
          <w:szCs w:val="20"/>
        </w:rPr>
        <w:t>and</w:t>
      </w:r>
      <w:r w:rsidRPr="00607B40">
        <w:rPr>
          <w:rFonts w:eastAsia="Cambria" w:cs="Calibri"/>
          <w:color w:val="000000"/>
          <w:szCs w:val="20"/>
        </w:rPr>
        <w:t xml:space="preserve"> Matthew Jenkins</w:t>
      </w:r>
      <w:r w:rsidRPr="00607B40">
        <w:rPr>
          <w:rFonts w:eastAsia="Cambria" w:cs="Calibri"/>
          <w:szCs w:val="20"/>
        </w:rPr>
        <w:t>, “</w:t>
      </w:r>
      <w:r w:rsidRPr="00607B40">
        <w:rPr>
          <w:rFonts w:eastAsia="Cambria" w:cs="Calibri"/>
          <w:color w:val="000000"/>
          <w:szCs w:val="20"/>
        </w:rPr>
        <w:t>Corruption and marginalisation,</w:t>
      </w:r>
      <w:r w:rsidRPr="00607B40">
        <w:rPr>
          <w:rFonts w:eastAsia="Cambria" w:cs="Calibri"/>
          <w:szCs w:val="20"/>
        </w:rPr>
        <w:t>”</w:t>
      </w:r>
      <w:r w:rsidRPr="00607B40">
        <w:rPr>
          <w:rFonts w:eastAsia="Cambria" w:cs="Calibri"/>
          <w:color w:val="000000"/>
          <w:szCs w:val="20"/>
        </w:rPr>
        <w:t xml:space="preserve"> Transparency International</w:t>
      </w:r>
      <w:r w:rsidRPr="00607B40">
        <w:rPr>
          <w:rFonts w:eastAsia="Cambria" w:cs="Calibri"/>
          <w:szCs w:val="20"/>
        </w:rPr>
        <w:t xml:space="preserve"> </w:t>
      </w:r>
      <w:r w:rsidRPr="00607B40">
        <w:rPr>
          <w:rFonts w:eastAsia="Cambria" w:cs="Calibri"/>
          <w:color w:val="000000"/>
          <w:szCs w:val="20"/>
        </w:rPr>
        <w:t xml:space="preserve">Anti-Corruption Helpdesk, 2020. </w:t>
      </w:r>
      <w:hyperlink r:id="rId26">
        <w:r w:rsidRPr="00607B40">
          <w:rPr>
            <w:rFonts w:eastAsia="Cambria" w:cs="Calibri"/>
            <w:color w:val="467886"/>
            <w:szCs w:val="20"/>
            <w:u w:val="single"/>
          </w:rPr>
          <w:t>https://knowledgehub.transparency.org/helpdesk/corruption-and-marginalisation</w:t>
        </w:r>
      </w:hyperlink>
      <w:r w:rsidRPr="00607B40">
        <w:rPr>
          <w:rFonts w:eastAsia="Cambria" w:cs="Calibri"/>
          <w:szCs w:val="20"/>
        </w:rPr>
        <w:t>;</w:t>
      </w:r>
      <w:r w:rsidRPr="00607B40">
        <w:rPr>
          <w:rFonts w:eastAsia="Cambria" w:cs="Calibri"/>
          <w:color w:val="000000"/>
          <w:szCs w:val="20"/>
        </w:rPr>
        <w:t xml:space="preserve"> UNODC</w:t>
      </w:r>
      <w:r w:rsidRPr="00607B40">
        <w:rPr>
          <w:rFonts w:eastAsia="Cambria" w:cs="Calibri"/>
          <w:szCs w:val="20"/>
        </w:rPr>
        <w:t>, “</w:t>
      </w:r>
      <w:r w:rsidRPr="00607B40">
        <w:rPr>
          <w:rFonts w:eastAsia="Cambria" w:cs="Calibri"/>
          <w:color w:val="000000"/>
          <w:szCs w:val="20"/>
        </w:rPr>
        <w:t>The time is now: Addressing the gender dimensions of corruption,</w:t>
      </w:r>
      <w:r w:rsidRPr="00607B40">
        <w:rPr>
          <w:rFonts w:eastAsia="Cambria" w:cs="Calibri"/>
          <w:szCs w:val="20"/>
        </w:rPr>
        <w:t>” United Nations, 2020</w:t>
      </w:r>
      <w:r w:rsidRPr="00607B40">
        <w:rPr>
          <w:rFonts w:eastAsia="Cambria" w:cs="Calibri"/>
          <w:color w:val="000000"/>
          <w:szCs w:val="20"/>
        </w:rPr>
        <w:t xml:space="preserve">. </w:t>
      </w:r>
      <w:hyperlink r:id="rId27">
        <w:r w:rsidRPr="00607B40">
          <w:rPr>
            <w:rFonts w:eastAsia="Cambria" w:cs="Calibri"/>
            <w:color w:val="467886"/>
            <w:szCs w:val="20"/>
            <w:u w:val="single"/>
          </w:rPr>
          <w:t>https://www.unodc.org/documents/corruption/Publications/2020/THE_TIME_IS_NOW_2020_12_08.pdf</w:t>
        </w:r>
      </w:hyperlink>
      <w:r w:rsidRPr="00607B40">
        <w:rPr>
          <w:rFonts w:eastAsia="Cambria" w:cs="Calibri"/>
          <w:szCs w:val="20"/>
        </w:rPr>
        <w:t>.</w:t>
      </w:r>
    </w:p>
  </w:footnote>
  <w:footnote w:id="10">
    <w:p w14:paraId="10D5A340" w14:textId="77777777" w:rsidR="0071751D" w:rsidRPr="00607B40" w:rsidRDefault="0071751D" w:rsidP="0071751D">
      <w:pPr>
        <w:spacing w:after="0" w:line="240" w:lineRule="auto"/>
        <w:rPr>
          <w:rFonts w:eastAsia="Cambria" w:cs="Calibri"/>
          <w:szCs w:val="20"/>
          <w:highlight w:val="yellow"/>
        </w:rPr>
      </w:pPr>
      <w:r w:rsidRPr="00607B40">
        <w:rPr>
          <w:rStyle w:val="FootnoteReference"/>
          <w:rFonts w:cs="Calibri"/>
          <w:color w:val="000000" w:themeColor="text1"/>
          <w:szCs w:val="20"/>
        </w:rPr>
        <w:footnoteRef/>
      </w:r>
      <w:r w:rsidRPr="00607B40">
        <w:rPr>
          <w:rFonts w:eastAsia="Cambria" w:cs="Calibri"/>
          <w:color w:val="000000" w:themeColor="text1"/>
          <w:szCs w:val="20"/>
        </w:rPr>
        <w:t xml:space="preserve"> Elin </w:t>
      </w:r>
      <w:proofErr w:type="spellStart"/>
      <w:r w:rsidRPr="00607B40">
        <w:rPr>
          <w:rFonts w:eastAsia="Cambria" w:cs="Calibri"/>
          <w:color w:val="000000" w:themeColor="text1"/>
          <w:szCs w:val="20"/>
        </w:rPr>
        <w:t>Bjarnegård</w:t>
      </w:r>
      <w:proofErr w:type="spellEnd"/>
      <w:r w:rsidRPr="00607B40">
        <w:rPr>
          <w:rFonts w:eastAsia="Cambria" w:cs="Calibri"/>
          <w:szCs w:val="20"/>
        </w:rPr>
        <w:t xml:space="preserve">, Dolores Calvo, Åsa </w:t>
      </w:r>
      <w:proofErr w:type="spellStart"/>
      <w:r w:rsidRPr="00607B40">
        <w:rPr>
          <w:rFonts w:eastAsia="Cambria" w:cs="Calibri"/>
          <w:szCs w:val="20"/>
        </w:rPr>
        <w:t>Eldén</w:t>
      </w:r>
      <w:proofErr w:type="spellEnd"/>
      <w:r w:rsidRPr="00607B40">
        <w:rPr>
          <w:rFonts w:eastAsia="Cambria" w:cs="Calibri"/>
          <w:szCs w:val="20"/>
        </w:rPr>
        <w:t xml:space="preserve">, and Silje Lundgren, “What is sexual corruption? The challenges of raising awareness and legislating in the absence of recognition,” Forum on Crime and Society </w:t>
      </w:r>
      <w:r w:rsidRPr="00607B40">
        <w:rPr>
          <w:rFonts w:eastAsia="Cambria" w:cs="Calibri"/>
          <w:szCs w:val="20"/>
          <w:highlight w:val="white"/>
        </w:rPr>
        <w:t>11, no.1 (2025)</w:t>
      </w:r>
      <w:r w:rsidRPr="00607B40">
        <w:rPr>
          <w:rFonts w:eastAsia="Cambria" w:cs="Calibri"/>
          <w:szCs w:val="20"/>
        </w:rPr>
        <w:t xml:space="preserve">: 1-17. </w:t>
      </w:r>
      <w:hyperlink r:id="rId28">
        <w:r w:rsidRPr="00607B40">
          <w:rPr>
            <w:rFonts w:eastAsia="Cambria" w:cs="Calibri"/>
            <w:color w:val="1155CC"/>
            <w:szCs w:val="20"/>
            <w:u w:val="single"/>
          </w:rPr>
          <w:t>https://www.unodc.org/documents/data-and-analysis/Forum/Forum_2025/ForumCrimeSociety_Vol11_Chapter1.pdf</w:t>
        </w:r>
      </w:hyperlink>
      <w:r w:rsidRPr="00607B40">
        <w:rPr>
          <w:szCs w:val="20"/>
        </w:rPr>
        <w:t xml:space="preserve">; </w:t>
      </w:r>
      <w:r w:rsidRPr="00607B40">
        <w:rPr>
          <w:color w:val="000000"/>
          <w:szCs w:val="20"/>
        </w:rPr>
        <w:t xml:space="preserve">UNCAC Coalition. 2025. Sexual Corruption Database. </w:t>
      </w:r>
      <w:hyperlink r:id="rId29" w:history="1">
        <w:r w:rsidRPr="00607B40">
          <w:rPr>
            <w:rStyle w:val="Hyperlink"/>
            <w:color w:val="1155CC"/>
            <w:szCs w:val="20"/>
            <w:u w:val="single"/>
          </w:rPr>
          <w:t>https://uncaccoalition.org/sexual-corruption-database/</w:t>
        </w:r>
      </w:hyperlink>
      <w:r w:rsidRPr="00607B40">
        <w:rPr>
          <w:color w:val="000000"/>
          <w:szCs w:val="20"/>
          <w:u w:val="single"/>
        </w:rPr>
        <w:t>.</w:t>
      </w:r>
    </w:p>
  </w:footnote>
  <w:footnote w:id="11">
    <w:p w14:paraId="6EE4798E" w14:textId="2A8EDC5A" w:rsidR="0071751D" w:rsidRPr="00607B40" w:rsidRDefault="0071751D" w:rsidP="0071751D">
      <w:pPr>
        <w:pBdr>
          <w:top w:val="nil"/>
          <w:left w:val="nil"/>
          <w:bottom w:val="nil"/>
          <w:right w:val="nil"/>
          <w:between w:val="nil"/>
        </w:pBdr>
        <w:spacing w:after="0" w:line="240" w:lineRule="auto"/>
        <w:rPr>
          <w:rFonts w:eastAsia="Cambria" w:cs="Calibri"/>
          <w:color w:val="0070C0"/>
          <w:szCs w:val="20"/>
          <w:u w:val="single"/>
        </w:rPr>
      </w:pPr>
      <w:r w:rsidRPr="00607B40">
        <w:rPr>
          <w:rStyle w:val="FootnoteReference"/>
          <w:rFonts w:cs="Calibri"/>
          <w:color w:val="000000" w:themeColor="text1"/>
          <w:szCs w:val="20"/>
        </w:rPr>
        <w:footnoteRef/>
      </w:r>
      <w:r w:rsidRPr="00607B40">
        <w:rPr>
          <w:rFonts w:eastAsia="Cambria" w:cs="Calibri"/>
          <w:color w:val="000000" w:themeColor="text1"/>
          <w:szCs w:val="20"/>
        </w:rPr>
        <w:t xml:space="preserve"> Sara Carnegie</w:t>
      </w:r>
      <w:r w:rsidRPr="00607B40">
        <w:rPr>
          <w:rFonts w:eastAsia="Cambria" w:cs="Calibri"/>
          <w:szCs w:val="20"/>
        </w:rPr>
        <w:t xml:space="preserve">, “Sextortion: a crime of corruption and sexual exploitation,” International Bar Association, 2019. </w:t>
      </w:r>
      <w:r w:rsidRPr="00607B40">
        <w:rPr>
          <w:rFonts w:eastAsia="Cambria" w:cs="Calibri"/>
          <w:color w:val="1255CD"/>
          <w:szCs w:val="20"/>
          <w:u w:val="single"/>
        </w:rPr>
        <w:t>https://www.ibanet.org/MediaHandler?id=E5E451C2-A883-4518-B0ED-5AAAEBCDD5AA</w:t>
      </w:r>
      <w:r w:rsidRPr="00607B40">
        <w:rPr>
          <w:rFonts w:eastAsia="Cambria" w:cs="Calibri"/>
          <w:color w:val="0070C0"/>
          <w:szCs w:val="20"/>
          <w:u w:val="single"/>
        </w:rPr>
        <w:t xml:space="preserve">. </w:t>
      </w:r>
    </w:p>
  </w:footnote>
  <w:footnote w:id="12">
    <w:p w14:paraId="4E183C57" w14:textId="77777777" w:rsidR="0071751D" w:rsidRPr="00607B40" w:rsidRDefault="0071751D" w:rsidP="0071751D">
      <w:pPr>
        <w:pBdr>
          <w:top w:val="nil"/>
          <w:left w:val="nil"/>
          <w:bottom w:val="nil"/>
          <w:right w:val="nil"/>
          <w:between w:val="nil"/>
        </w:pBdr>
        <w:spacing w:after="0" w:line="240" w:lineRule="auto"/>
        <w:rPr>
          <w:rFonts w:eastAsia="Cambria" w:cs="Calibri"/>
          <w:color w:val="000000"/>
          <w:szCs w:val="20"/>
        </w:rPr>
      </w:pPr>
      <w:r w:rsidRPr="00607B40">
        <w:rPr>
          <w:rStyle w:val="FootnoteReference"/>
          <w:rFonts w:cs="Calibri"/>
          <w:color w:val="000000" w:themeColor="text1"/>
          <w:szCs w:val="20"/>
        </w:rPr>
        <w:footnoteRef/>
      </w:r>
      <w:r w:rsidRPr="00607B40">
        <w:rPr>
          <w:rFonts w:eastAsia="Cambria" w:cs="Calibri"/>
          <w:color w:val="000000" w:themeColor="text1"/>
          <w:szCs w:val="20"/>
          <w:highlight w:val="white"/>
        </w:rPr>
        <w:t xml:space="preserve"> International </w:t>
      </w:r>
      <w:r w:rsidRPr="00607B40">
        <w:rPr>
          <w:rFonts w:eastAsia="Cambria" w:cs="Calibri"/>
          <w:szCs w:val="20"/>
          <w:highlight w:val="white"/>
        </w:rPr>
        <w:t xml:space="preserve">Association of Women Judges. “Stopping the abuse of power through sexual exploitation: Naming, shaming and ending sextortion,” International Association of Women Judges, 2012. </w:t>
      </w:r>
      <w:hyperlink r:id="rId30">
        <w:r w:rsidRPr="00607B40">
          <w:rPr>
            <w:rFonts w:eastAsia="Cambria" w:cs="Calibri"/>
            <w:color w:val="1155CC"/>
            <w:szCs w:val="20"/>
            <w:highlight w:val="white"/>
            <w:u w:val="single"/>
          </w:rPr>
          <w:t>https://www.unodc.org/res/ji/import/guide/naming_shaming_ending_sextortion/naming_shaming_ending_sextortion.pdf</w:t>
        </w:r>
      </w:hyperlink>
      <w:r w:rsidRPr="00607B40">
        <w:rPr>
          <w:rFonts w:eastAsia="Cambria" w:cs="Calibri"/>
          <w:color w:val="000000"/>
          <w:szCs w:val="20"/>
        </w:rPr>
        <w:t>; Moni</w:t>
      </w:r>
      <w:r w:rsidRPr="00607B40">
        <w:rPr>
          <w:rFonts w:eastAsia="Cambria" w:cs="Calibri"/>
          <w:szCs w:val="20"/>
        </w:rPr>
        <w:t xml:space="preserve">ka </w:t>
      </w:r>
      <w:proofErr w:type="spellStart"/>
      <w:r w:rsidRPr="00607B40">
        <w:rPr>
          <w:rFonts w:eastAsia="Cambria" w:cs="Calibri"/>
          <w:szCs w:val="20"/>
          <w:highlight w:val="white"/>
        </w:rPr>
        <w:t>Bauhr</w:t>
      </w:r>
      <w:proofErr w:type="spellEnd"/>
      <w:r w:rsidRPr="00607B40">
        <w:rPr>
          <w:rFonts w:eastAsia="Cambria" w:cs="Calibri"/>
          <w:szCs w:val="20"/>
          <w:highlight w:val="white"/>
        </w:rPr>
        <w:t xml:space="preserve">, Bolaji </w:t>
      </w:r>
      <w:proofErr w:type="spellStart"/>
      <w:r w:rsidRPr="00607B40">
        <w:rPr>
          <w:rFonts w:eastAsia="Cambria" w:cs="Calibri"/>
          <w:szCs w:val="20"/>
          <w:highlight w:val="white"/>
        </w:rPr>
        <w:t>Owasanoye</w:t>
      </w:r>
      <w:proofErr w:type="spellEnd"/>
      <w:r w:rsidRPr="00607B40">
        <w:rPr>
          <w:rFonts w:eastAsia="Cambria" w:cs="Calibri"/>
          <w:szCs w:val="20"/>
          <w:highlight w:val="white"/>
        </w:rPr>
        <w:t xml:space="preserve">, and Anna Petherick, “The Chandler Papers 9: Sexual Corruption: Emerging Directions in Research and Policy,” Blavatnik School of Government, University of Oxford, 2024. </w:t>
      </w:r>
      <w:hyperlink r:id="rId31">
        <w:r w:rsidRPr="00607B40">
          <w:rPr>
            <w:rFonts w:eastAsia="Cambria" w:cs="Calibri"/>
            <w:color w:val="1155CC"/>
            <w:szCs w:val="20"/>
            <w:highlight w:val="white"/>
            <w:u w:val="single"/>
          </w:rPr>
          <w:t>https://www.bsg.ox.ac.uk/sites/default/files/2024-05/The%20Chandler%20Papers%20%E2%80%93%20Sexual%20corruption.pdf</w:t>
        </w:r>
      </w:hyperlink>
      <w:r w:rsidRPr="00607B40">
        <w:rPr>
          <w:rFonts w:eastAsia="Cambria" w:cs="Calibri"/>
          <w:szCs w:val="20"/>
        </w:rPr>
        <w:t>.</w:t>
      </w:r>
    </w:p>
  </w:footnote>
  <w:footnote w:id="13">
    <w:p w14:paraId="12CFA3E9" w14:textId="77777777" w:rsidR="0071751D" w:rsidRPr="00607B40" w:rsidRDefault="0071751D" w:rsidP="0071751D">
      <w:pPr>
        <w:pBdr>
          <w:top w:val="nil"/>
          <w:left w:val="nil"/>
          <w:bottom w:val="nil"/>
          <w:right w:val="nil"/>
          <w:between w:val="nil"/>
        </w:pBdr>
        <w:spacing w:after="0" w:line="240" w:lineRule="auto"/>
        <w:rPr>
          <w:rFonts w:eastAsia="Cambria" w:cs="Calibri"/>
          <w:szCs w:val="20"/>
        </w:rPr>
      </w:pPr>
      <w:r w:rsidRPr="00607B40">
        <w:rPr>
          <w:rStyle w:val="FootnoteReference"/>
          <w:rFonts w:cs="Calibri"/>
          <w:color w:val="000000" w:themeColor="text1"/>
          <w:szCs w:val="20"/>
        </w:rPr>
        <w:footnoteRef/>
      </w:r>
      <w:r w:rsidRPr="00607B40">
        <w:rPr>
          <w:rFonts w:cs="Calibri"/>
          <w:color w:val="000000" w:themeColor="text1"/>
          <w:szCs w:val="20"/>
        </w:rPr>
        <w:t xml:space="preserve"> </w:t>
      </w:r>
      <w:r w:rsidRPr="00607B40">
        <w:rPr>
          <w:rFonts w:eastAsia="Cambria" w:cs="Calibri"/>
          <w:color w:val="000000" w:themeColor="text1"/>
          <w:szCs w:val="20"/>
        </w:rPr>
        <w:t>UNODC</w:t>
      </w:r>
      <w:r w:rsidRPr="00607B40">
        <w:rPr>
          <w:rFonts w:eastAsia="Cambria" w:cs="Calibri"/>
          <w:szCs w:val="20"/>
        </w:rPr>
        <w:t xml:space="preserve">, “The time is now: Addressing the gender dimensions of corruption,” United Nations, 2020. </w:t>
      </w:r>
      <w:hyperlink r:id="rId32">
        <w:r w:rsidRPr="00607B40">
          <w:rPr>
            <w:rFonts w:eastAsia="Cambria" w:cs="Calibri"/>
            <w:color w:val="1155CC"/>
            <w:szCs w:val="20"/>
            <w:u w:val="single"/>
          </w:rPr>
          <w:t>https://www.unodc.org/documents/corruption/Publications/2020/THE_TIME_IS_NOW_2020_12_08.pdf</w:t>
        </w:r>
      </w:hyperlink>
      <w:r w:rsidRPr="00607B40">
        <w:rPr>
          <w:rFonts w:eastAsia="Cambria" w:cs="Calibri"/>
          <w:szCs w:val="20"/>
        </w:rPr>
        <w:t>.</w:t>
      </w:r>
    </w:p>
  </w:footnote>
  <w:footnote w:id="14">
    <w:p w14:paraId="42CFCE01" w14:textId="77777777" w:rsidR="0071751D" w:rsidRPr="00607B40" w:rsidRDefault="0071751D" w:rsidP="0071751D">
      <w:pPr>
        <w:pBdr>
          <w:top w:val="nil"/>
          <w:left w:val="nil"/>
          <w:bottom w:val="nil"/>
          <w:right w:val="nil"/>
          <w:between w:val="nil"/>
        </w:pBdr>
        <w:spacing w:after="0" w:line="240" w:lineRule="auto"/>
        <w:rPr>
          <w:rFonts w:eastAsia="Cambria" w:cs="Calibri"/>
          <w:color w:val="000000"/>
          <w:szCs w:val="20"/>
        </w:rPr>
      </w:pPr>
      <w:r w:rsidRPr="00607B40">
        <w:rPr>
          <w:rStyle w:val="FootnoteReference"/>
          <w:rFonts w:cs="Calibri"/>
          <w:color w:val="000000" w:themeColor="text1"/>
          <w:szCs w:val="20"/>
        </w:rPr>
        <w:footnoteRef/>
      </w:r>
      <w:r w:rsidRPr="00607B40">
        <w:rPr>
          <w:rFonts w:eastAsia="Cambria" w:cs="Calibri"/>
          <w:color w:val="000000" w:themeColor="text1"/>
          <w:szCs w:val="20"/>
        </w:rPr>
        <w:t xml:space="preserve"> Elin </w:t>
      </w:r>
      <w:proofErr w:type="spellStart"/>
      <w:r w:rsidRPr="00607B40">
        <w:rPr>
          <w:rFonts w:eastAsia="Cambria" w:cs="Calibri"/>
          <w:szCs w:val="20"/>
        </w:rPr>
        <w:t>Bjarnegard</w:t>
      </w:r>
      <w:proofErr w:type="spellEnd"/>
      <w:r w:rsidRPr="00607B40">
        <w:rPr>
          <w:rFonts w:eastAsia="Cambria" w:cs="Calibri"/>
          <w:szCs w:val="20"/>
        </w:rPr>
        <w:t xml:space="preserve">, Asa </w:t>
      </w:r>
      <w:proofErr w:type="spellStart"/>
      <w:r w:rsidRPr="00607B40">
        <w:rPr>
          <w:rFonts w:eastAsia="Cambria" w:cs="Calibri"/>
          <w:szCs w:val="20"/>
        </w:rPr>
        <w:t>Eldén</w:t>
      </w:r>
      <w:proofErr w:type="spellEnd"/>
      <w:r w:rsidRPr="00607B40">
        <w:rPr>
          <w:rFonts w:eastAsia="Cambria" w:cs="Calibri"/>
          <w:szCs w:val="20"/>
        </w:rPr>
        <w:t xml:space="preserve">, </w:t>
      </w:r>
      <w:proofErr w:type="spellStart"/>
      <w:r w:rsidRPr="00607B40">
        <w:rPr>
          <w:rFonts w:eastAsia="Cambria" w:cs="Calibri"/>
          <w:szCs w:val="20"/>
        </w:rPr>
        <w:t>Janithirka</w:t>
      </w:r>
      <w:proofErr w:type="spellEnd"/>
      <w:r w:rsidRPr="00607B40">
        <w:rPr>
          <w:rFonts w:eastAsia="Cambria" w:cs="Calibri"/>
          <w:szCs w:val="20"/>
        </w:rPr>
        <w:t xml:space="preserve"> Jayasundara, and Ave Maria </w:t>
      </w:r>
      <w:proofErr w:type="spellStart"/>
      <w:r w:rsidRPr="00607B40">
        <w:rPr>
          <w:rFonts w:eastAsia="Cambria" w:cs="Calibri"/>
          <w:szCs w:val="20"/>
        </w:rPr>
        <w:t>Semakafu</w:t>
      </w:r>
      <w:proofErr w:type="spellEnd"/>
      <w:r w:rsidRPr="00607B40">
        <w:rPr>
          <w:rFonts w:eastAsia="Cambria" w:cs="Calibri"/>
          <w:szCs w:val="20"/>
        </w:rPr>
        <w:t xml:space="preserve">, “Getting the law on sexual corruption right: Why a ‘do no harm’ approach is essential,” U4 Anti-Corruption Resource Centre, 2025. </w:t>
      </w:r>
      <w:hyperlink r:id="rId33">
        <w:r w:rsidRPr="00607B40">
          <w:rPr>
            <w:rFonts w:eastAsia="Cambria" w:cs="Calibri"/>
            <w:color w:val="1155CC"/>
            <w:szCs w:val="20"/>
            <w:u w:val="single"/>
          </w:rPr>
          <w:t>https://www.u4.no/blog/getting-the-law-on-sexual-corruption-right-why-a-do-no-harm-approach-is-essential</w:t>
        </w:r>
      </w:hyperlink>
      <w:r w:rsidRPr="00607B40">
        <w:rPr>
          <w:rFonts w:eastAsia="Cambria" w:cs="Calibri"/>
          <w:szCs w:val="20"/>
        </w:rPr>
        <w:t>.</w:t>
      </w:r>
    </w:p>
  </w:footnote>
  <w:footnote w:id="15">
    <w:p w14:paraId="391EC438" w14:textId="77777777" w:rsidR="0071751D" w:rsidRPr="00607B40" w:rsidRDefault="0071751D" w:rsidP="0071751D">
      <w:pPr>
        <w:spacing w:after="0" w:line="240" w:lineRule="auto"/>
        <w:rPr>
          <w:rFonts w:eastAsia="Cambria" w:cs="Calibri"/>
          <w:szCs w:val="20"/>
        </w:rPr>
      </w:pPr>
      <w:r w:rsidRPr="00607B40">
        <w:rPr>
          <w:rStyle w:val="FootnoteReference"/>
          <w:rFonts w:cs="Calibri"/>
          <w:color w:val="000000" w:themeColor="text1"/>
          <w:szCs w:val="20"/>
        </w:rPr>
        <w:footnoteRef/>
      </w:r>
      <w:r w:rsidRPr="00607B40">
        <w:rPr>
          <w:rFonts w:eastAsia="Cambria" w:cs="Calibri"/>
          <w:color w:val="000000" w:themeColor="text1"/>
          <w:szCs w:val="20"/>
        </w:rPr>
        <w:t xml:space="preserve"> Silje Lundgren </w:t>
      </w:r>
      <w:r w:rsidRPr="00607B40">
        <w:rPr>
          <w:rFonts w:eastAsia="Cambria" w:cs="Calibri"/>
          <w:color w:val="1D1D1B"/>
          <w:szCs w:val="20"/>
        </w:rPr>
        <w:t>and Malin Wieslander, “</w:t>
      </w:r>
      <w:r w:rsidRPr="00607B40">
        <w:rPr>
          <w:rFonts w:eastAsia="Cambria" w:cs="Calibri"/>
          <w:szCs w:val="20"/>
        </w:rPr>
        <w:t xml:space="preserve">Holding the harasser responsible: Implications of identifying sexual harassment that includes abuse of power and quid pro quo elements as sexual corruption,” </w:t>
      </w:r>
      <w:r w:rsidRPr="00607B40">
        <w:rPr>
          <w:rFonts w:eastAsia="Cambria" w:cs="Calibri"/>
          <w:color w:val="1D1D1B"/>
          <w:szCs w:val="20"/>
        </w:rPr>
        <w:t>Gender, Work and Organization 32, no.</w:t>
      </w:r>
      <w:r w:rsidRPr="00607B40">
        <w:rPr>
          <w:rFonts w:eastAsia="Cambria" w:cs="Calibri"/>
          <w:szCs w:val="20"/>
        </w:rPr>
        <w:t>1 (2024)</w:t>
      </w:r>
      <w:r w:rsidRPr="00607B40">
        <w:rPr>
          <w:rFonts w:eastAsia="Cambria" w:cs="Calibri"/>
          <w:color w:val="767676"/>
          <w:szCs w:val="20"/>
        </w:rPr>
        <w:t xml:space="preserve">: </w:t>
      </w:r>
      <w:r w:rsidRPr="00607B40">
        <w:rPr>
          <w:rFonts w:eastAsia="Cambria" w:cs="Calibri"/>
          <w:color w:val="1D1D1B"/>
          <w:szCs w:val="20"/>
        </w:rPr>
        <w:t>181-201</w:t>
      </w:r>
      <w:r w:rsidRPr="00607B40">
        <w:rPr>
          <w:rFonts w:eastAsia="Cambria" w:cs="Calibri"/>
          <w:szCs w:val="20"/>
        </w:rPr>
        <w:t xml:space="preserve">. </w:t>
      </w:r>
      <w:hyperlink r:id="rId34">
        <w:r w:rsidRPr="00607B40">
          <w:rPr>
            <w:rFonts w:eastAsia="Cambria" w:cs="Calibri"/>
            <w:color w:val="1155CC"/>
            <w:szCs w:val="20"/>
            <w:u w:val="single"/>
          </w:rPr>
          <w:t>https://onlinelibrary.wiley.com/doi/10.1111/gwao.13142</w:t>
        </w:r>
      </w:hyperlink>
      <w:r w:rsidRPr="00607B40">
        <w:rPr>
          <w:rFonts w:eastAsia="Cambria" w:cs="Calibri"/>
          <w:szCs w:val="20"/>
        </w:rPr>
        <w:t>.</w:t>
      </w:r>
    </w:p>
  </w:footnote>
  <w:footnote w:id="16">
    <w:p w14:paraId="6C5A7999" w14:textId="76E13BFF" w:rsidR="0071751D" w:rsidRPr="00607B40" w:rsidRDefault="0071751D" w:rsidP="0071751D">
      <w:pPr>
        <w:pBdr>
          <w:top w:val="nil"/>
          <w:left w:val="nil"/>
          <w:bottom w:val="nil"/>
          <w:right w:val="nil"/>
          <w:between w:val="nil"/>
        </w:pBdr>
        <w:spacing w:after="0" w:line="240" w:lineRule="auto"/>
        <w:rPr>
          <w:rFonts w:eastAsia="Cambria" w:cs="Calibri"/>
          <w:color w:val="000000"/>
          <w:szCs w:val="20"/>
        </w:rPr>
      </w:pPr>
      <w:r w:rsidRPr="00607B40">
        <w:rPr>
          <w:rStyle w:val="FootnoteReference"/>
          <w:rFonts w:cs="Calibri"/>
          <w:color w:val="000000" w:themeColor="text1"/>
          <w:szCs w:val="20"/>
        </w:rPr>
        <w:footnoteRef/>
      </w:r>
      <w:r w:rsidRPr="00607B40">
        <w:rPr>
          <w:rFonts w:eastAsia="Cambria" w:cs="Calibri"/>
          <w:color w:val="000000" w:themeColor="text1"/>
          <w:szCs w:val="20"/>
        </w:rPr>
        <w:t xml:space="preserve"> See for example</w:t>
      </w:r>
      <w:r w:rsidR="00D1353C" w:rsidRPr="00607B40">
        <w:rPr>
          <w:rFonts w:eastAsia="Cambria" w:cs="Calibri"/>
          <w:color w:val="000000"/>
          <w:szCs w:val="20"/>
        </w:rPr>
        <w:t>:</w:t>
      </w:r>
      <w:r w:rsidRPr="00607B40">
        <w:rPr>
          <w:rFonts w:eastAsia="Cambria" w:cs="Calibri"/>
          <w:color w:val="000000"/>
          <w:szCs w:val="20"/>
        </w:rPr>
        <w:t xml:space="preserve"> Silje </w:t>
      </w:r>
      <w:r w:rsidRPr="00607B40">
        <w:rPr>
          <w:rFonts w:eastAsia="Cambria" w:cs="Calibri"/>
          <w:szCs w:val="20"/>
          <w:highlight w:val="white"/>
        </w:rPr>
        <w:t xml:space="preserve">Lundgren, Asa </w:t>
      </w:r>
      <w:proofErr w:type="spellStart"/>
      <w:r w:rsidRPr="00607B40">
        <w:rPr>
          <w:rFonts w:eastAsia="Cambria" w:cs="Calibri"/>
          <w:szCs w:val="20"/>
          <w:highlight w:val="white"/>
        </w:rPr>
        <w:t>Eldén</w:t>
      </w:r>
      <w:proofErr w:type="spellEnd"/>
      <w:r w:rsidRPr="00607B40">
        <w:rPr>
          <w:rFonts w:eastAsia="Cambria" w:cs="Calibri"/>
          <w:szCs w:val="20"/>
          <w:highlight w:val="white"/>
        </w:rPr>
        <w:t xml:space="preserve">, Dolores Calvo, and Elin </w:t>
      </w:r>
      <w:proofErr w:type="spellStart"/>
      <w:r w:rsidRPr="00607B40">
        <w:rPr>
          <w:rFonts w:eastAsia="Cambria" w:cs="Calibri"/>
          <w:szCs w:val="20"/>
          <w:highlight w:val="white"/>
        </w:rPr>
        <w:t>Bjarnegård</w:t>
      </w:r>
      <w:proofErr w:type="spellEnd"/>
      <w:r w:rsidRPr="00607B40">
        <w:rPr>
          <w:rFonts w:eastAsia="Cambria" w:cs="Calibri"/>
          <w:szCs w:val="20"/>
          <w:highlight w:val="white"/>
        </w:rPr>
        <w:t xml:space="preserve">, “Sextortion: Linking sexual violence and corruption in a Nordic context”, in </w:t>
      </w:r>
      <w:r w:rsidRPr="00607B40">
        <w:rPr>
          <w:rFonts w:eastAsia="Cambria" w:cs="Calibri"/>
          <w:i/>
          <w:iCs/>
          <w:szCs w:val="20"/>
          <w:highlight w:val="white"/>
        </w:rPr>
        <w:t>Re-imagining Sexual Harassment: Perspectives from the Nordic Region,</w:t>
      </w:r>
      <w:r w:rsidRPr="00607B40">
        <w:rPr>
          <w:rFonts w:eastAsia="Cambria" w:cs="Calibri"/>
          <w:szCs w:val="20"/>
          <w:highlight w:val="white"/>
        </w:rPr>
        <w:t xml:space="preserve"> edited by M. Lundqvist, K. Widegren and A. Simonsson, (Bristol University Press (Policy Press), 2023).</w:t>
      </w:r>
      <w:r w:rsidRPr="00607B40">
        <w:rPr>
          <w:rFonts w:eastAsia="Cambria" w:cs="Calibri"/>
          <w:color w:val="002060"/>
          <w:szCs w:val="20"/>
          <w:highlight w:val="white"/>
        </w:rPr>
        <w:t xml:space="preserve"> </w:t>
      </w:r>
      <w:hyperlink r:id="rId35">
        <w:r w:rsidRPr="00607B40">
          <w:rPr>
            <w:rFonts w:eastAsia="Cambria" w:cs="Calibri"/>
            <w:color w:val="1155CC"/>
            <w:szCs w:val="20"/>
            <w:highlight w:val="white"/>
            <w:u w:val="single"/>
          </w:rPr>
          <w:t>https://bristoluniversitypressdigital.com/display/book/9781447366546/ch010.xml</w:t>
        </w:r>
      </w:hyperlink>
      <w:r w:rsidRPr="00607B40">
        <w:rPr>
          <w:rFonts w:eastAsia="Cambria" w:cs="Calibri"/>
          <w:szCs w:val="20"/>
        </w:rPr>
        <w:t>.</w:t>
      </w:r>
    </w:p>
  </w:footnote>
  <w:footnote w:id="17">
    <w:p w14:paraId="65F7D9F1" w14:textId="77777777" w:rsidR="0071751D" w:rsidRPr="00607B40" w:rsidRDefault="0071751D" w:rsidP="0071751D">
      <w:pPr>
        <w:pBdr>
          <w:top w:val="nil"/>
          <w:left w:val="nil"/>
          <w:bottom w:val="nil"/>
          <w:right w:val="nil"/>
          <w:between w:val="nil"/>
        </w:pBdr>
        <w:spacing w:after="0" w:line="240" w:lineRule="auto"/>
        <w:rPr>
          <w:rFonts w:eastAsia="Cambria" w:cs="Calibri"/>
          <w:color w:val="000000"/>
          <w:szCs w:val="20"/>
        </w:rPr>
      </w:pPr>
      <w:r w:rsidRPr="00607B40">
        <w:rPr>
          <w:rStyle w:val="FootnoteReference"/>
          <w:rFonts w:cs="Calibri"/>
          <w:color w:val="000000" w:themeColor="text1"/>
          <w:szCs w:val="20"/>
        </w:rPr>
        <w:footnoteRef/>
      </w:r>
      <w:r w:rsidRPr="00607B40">
        <w:rPr>
          <w:rFonts w:eastAsia="Cambria" w:cs="Calibri"/>
          <w:color w:val="000000" w:themeColor="text1"/>
          <w:szCs w:val="20"/>
        </w:rPr>
        <w:t xml:space="preserve"> Hazel </w:t>
      </w:r>
      <w:proofErr w:type="spellStart"/>
      <w:r w:rsidRPr="00607B40">
        <w:rPr>
          <w:rFonts w:eastAsia="Cambria" w:cs="Calibri"/>
          <w:szCs w:val="20"/>
        </w:rPr>
        <w:t>Feigenblatt</w:t>
      </w:r>
      <w:proofErr w:type="spellEnd"/>
      <w:r w:rsidRPr="00607B40">
        <w:rPr>
          <w:rFonts w:eastAsia="Cambria" w:cs="Calibri"/>
          <w:szCs w:val="20"/>
        </w:rPr>
        <w:t xml:space="preserve">, “Breaking the silence around sextortion: The links between power, sex and corruption,” Transparency International, 2020. </w:t>
      </w:r>
      <w:hyperlink r:id="rId36">
        <w:r w:rsidRPr="00607B40">
          <w:rPr>
            <w:rFonts w:eastAsia="Cambria" w:cs="Calibri"/>
            <w:color w:val="1155CC"/>
            <w:szCs w:val="20"/>
            <w:u w:val="single"/>
          </w:rPr>
          <w:t>https://images.transparencycdn.org/images/2020_Report_BreakingSilenceAroundSextortion_English.pdf</w:t>
        </w:r>
      </w:hyperlink>
      <w:r w:rsidRPr="00607B40">
        <w:rPr>
          <w:rFonts w:eastAsia="Cambria" w:cs="Calibri"/>
          <w:color w:val="0070C0"/>
          <w:szCs w:val="20"/>
          <w:u w:val="single"/>
        </w:rPr>
        <w:t xml:space="preserve">; </w:t>
      </w:r>
      <w:r w:rsidRPr="00607B40">
        <w:rPr>
          <w:rFonts w:eastAsia="Cambria" w:cs="Calibri"/>
          <w:szCs w:val="20"/>
        </w:rPr>
        <w:t xml:space="preserve">Elin </w:t>
      </w:r>
      <w:proofErr w:type="spellStart"/>
      <w:r w:rsidRPr="00607B40">
        <w:rPr>
          <w:rFonts w:eastAsia="Cambria" w:cs="Calibri"/>
          <w:szCs w:val="20"/>
        </w:rPr>
        <w:t>Bjarnegård</w:t>
      </w:r>
      <w:proofErr w:type="spellEnd"/>
      <w:r w:rsidRPr="00607B40">
        <w:rPr>
          <w:rFonts w:eastAsia="Cambria" w:cs="Calibri"/>
          <w:szCs w:val="20"/>
        </w:rPr>
        <w:t xml:space="preserve">, Dolores Calvo, Åsa </w:t>
      </w:r>
      <w:proofErr w:type="spellStart"/>
      <w:r w:rsidRPr="00607B40">
        <w:rPr>
          <w:rFonts w:eastAsia="Cambria" w:cs="Calibri"/>
          <w:szCs w:val="20"/>
        </w:rPr>
        <w:t>Eldén</w:t>
      </w:r>
      <w:proofErr w:type="spellEnd"/>
      <w:r w:rsidRPr="00607B40">
        <w:rPr>
          <w:rFonts w:eastAsia="Cambria" w:cs="Calibri"/>
          <w:szCs w:val="20"/>
        </w:rPr>
        <w:t xml:space="preserve">, and Silje Lundgren, “What is sexual corruption? The challenges of raising awareness and legislating in the absence of recognition,” Forum on Crime and Society </w:t>
      </w:r>
      <w:r w:rsidRPr="00607B40">
        <w:rPr>
          <w:rFonts w:eastAsia="Cambria" w:cs="Calibri"/>
          <w:szCs w:val="20"/>
          <w:highlight w:val="white"/>
        </w:rPr>
        <w:t>11, no.1 (2025)</w:t>
      </w:r>
      <w:r w:rsidRPr="00607B40">
        <w:rPr>
          <w:rFonts w:eastAsia="Cambria" w:cs="Calibri"/>
          <w:szCs w:val="20"/>
        </w:rPr>
        <w:t xml:space="preserve">: 1-17. </w:t>
      </w:r>
      <w:hyperlink r:id="rId37">
        <w:r w:rsidRPr="00607B40">
          <w:rPr>
            <w:rFonts w:eastAsia="Cambria" w:cs="Calibri"/>
            <w:color w:val="1155CC"/>
            <w:szCs w:val="20"/>
            <w:u w:val="single"/>
          </w:rPr>
          <w:t>https://www.unodc.org/documents/data-and-analysis/Forum/Forum_2025/ForumCrimeSociety_Vol11_Chapter1.pdf</w:t>
        </w:r>
      </w:hyperlink>
      <w:r w:rsidRPr="00607B40">
        <w:rPr>
          <w:rFonts w:eastAsia="Cambria" w:cs="Calibri"/>
          <w:szCs w:val="20"/>
        </w:rPr>
        <w:t>.</w:t>
      </w:r>
    </w:p>
  </w:footnote>
  <w:footnote w:id="18">
    <w:p w14:paraId="7070DA06" w14:textId="77777777" w:rsidR="0071751D" w:rsidRPr="00607B40" w:rsidRDefault="0071751D" w:rsidP="0071751D">
      <w:pPr>
        <w:pBdr>
          <w:top w:val="nil"/>
          <w:left w:val="nil"/>
          <w:bottom w:val="nil"/>
          <w:right w:val="nil"/>
          <w:between w:val="nil"/>
        </w:pBdr>
        <w:spacing w:after="0" w:line="240" w:lineRule="auto"/>
        <w:rPr>
          <w:rFonts w:eastAsia="Cambria" w:cs="Calibri"/>
          <w:color w:val="0070C0"/>
          <w:szCs w:val="20"/>
          <w:u w:val="single"/>
        </w:rPr>
      </w:pPr>
      <w:r w:rsidRPr="00607B40">
        <w:rPr>
          <w:rStyle w:val="FootnoteReference"/>
          <w:rFonts w:cs="Calibri"/>
          <w:color w:val="000000" w:themeColor="text1"/>
          <w:szCs w:val="20"/>
        </w:rPr>
        <w:footnoteRef/>
      </w:r>
      <w:r w:rsidRPr="00607B40">
        <w:rPr>
          <w:rFonts w:eastAsia="Cambria" w:cs="Calibri"/>
          <w:color w:val="000000" w:themeColor="text1"/>
          <w:szCs w:val="20"/>
        </w:rPr>
        <w:t xml:space="preserve"> Sara Carnegie</w:t>
      </w:r>
      <w:r w:rsidRPr="00607B40">
        <w:rPr>
          <w:rFonts w:eastAsia="Cambria" w:cs="Calibri"/>
          <w:szCs w:val="20"/>
        </w:rPr>
        <w:t xml:space="preserve">, “Sextortion: a crime of corruption and sexual exploitation,” International Bar Association, 2019. </w:t>
      </w:r>
      <w:hyperlink r:id="rId38">
        <w:r w:rsidRPr="00607B40">
          <w:rPr>
            <w:rFonts w:eastAsia="Cambria" w:cs="Calibri"/>
            <w:color w:val="1155CC"/>
            <w:szCs w:val="20"/>
            <w:u w:val="single"/>
          </w:rPr>
          <w:t>https://www.ibanet.org/MediaHandler?id=E5E451C2-A883-4518-B0ED-5AAAEBCDD5AA</w:t>
        </w:r>
      </w:hyperlink>
      <w:r w:rsidRPr="00607B40">
        <w:rPr>
          <w:rFonts w:eastAsia="Cambria" w:cs="Calibri"/>
          <w:szCs w:val="20"/>
        </w:rPr>
        <w:t>;</w:t>
      </w:r>
      <w:r w:rsidRPr="00607B40">
        <w:rPr>
          <w:rFonts w:eastAsia="Cambria" w:cs="Calibri"/>
          <w:color w:val="000000"/>
          <w:szCs w:val="20"/>
        </w:rPr>
        <w:t xml:space="preserve"> </w:t>
      </w:r>
      <w:r w:rsidRPr="00607B40">
        <w:rPr>
          <w:rFonts w:eastAsia="Cambria" w:cs="Calibri"/>
          <w:szCs w:val="20"/>
        </w:rPr>
        <w:t xml:space="preserve">Elin </w:t>
      </w:r>
      <w:proofErr w:type="spellStart"/>
      <w:r w:rsidRPr="00607B40">
        <w:rPr>
          <w:rFonts w:eastAsia="Cambria" w:cs="Calibri"/>
          <w:szCs w:val="20"/>
        </w:rPr>
        <w:t>Bjarnegård</w:t>
      </w:r>
      <w:proofErr w:type="spellEnd"/>
      <w:r w:rsidRPr="00607B40">
        <w:rPr>
          <w:rFonts w:eastAsia="Cambria" w:cs="Calibri"/>
          <w:szCs w:val="20"/>
        </w:rPr>
        <w:t xml:space="preserve">, Dolores Calvo, Åsa </w:t>
      </w:r>
      <w:proofErr w:type="spellStart"/>
      <w:r w:rsidRPr="00607B40">
        <w:rPr>
          <w:rFonts w:eastAsia="Cambria" w:cs="Calibri"/>
          <w:szCs w:val="20"/>
        </w:rPr>
        <w:t>Eldén</w:t>
      </w:r>
      <w:proofErr w:type="spellEnd"/>
      <w:r w:rsidRPr="00607B40">
        <w:rPr>
          <w:rFonts w:eastAsia="Cambria" w:cs="Calibri"/>
          <w:szCs w:val="20"/>
        </w:rPr>
        <w:t xml:space="preserve">, and Silje Lundgren, “What is sexual corruption? The challenges of raising awareness and legislating in the absence of recognition,” Forum on Crime and Society </w:t>
      </w:r>
      <w:r w:rsidRPr="00607B40">
        <w:rPr>
          <w:rFonts w:eastAsia="Cambria" w:cs="Calibri"/>
          <w:szCs w:val="20"/>
          <w:highlight w:val="white"/>
        </w:rPr>
        <w:t>11, no.1 (2025)</w:t>
      </w:r>
      <w:r w:rsidRPr="00607B40">
        <w:rPr>
          <w:rFonts w:eastAsia="Cambria" w:cs="Calibri"/>
          <w:szCs w:val="20"/>
        </w:rPr>
        <w:t xml:space="preserve">: 1-17. </w:t>
      </w:r>
      <w:hyperlink r:id="rId39">
        <w:r w:rsidRPr="00607B40">
          <w:rPr>
            <w:rFonts w:eastAsia="Cambria" w:cs="Calibri"/>
            <w:color w:val="1155CC"/>
            <w:szCs w:val="20"/>
            <w:u w:val="single"/>
          </w:rPr>
          <w:t>https://www.unodc.org/documents/data-and-analysis/Forum/Forum_2025/ForumCrimeSociety_Vol11_Chapter1.pdf</w:t>
        </w:r>
      </w:hyperlink>
      <w:r w:rsidRPr="00607B40">
        <w:rPr>
          <w:rFonts w:eastAsia="Cambria" w:cs="Calibri"/>
          <w:color w:val="0070C0"/>
          <w:szCs w:val="20"/>
          <w:u w:val="single"/>
        </w:rPr>
        <w:t>.</w:t>
      </w:r>
    </w:p>
  </w:footnote>
  <w:footnote w:id="19">
    <w:p w14:paraId="34691277" w14:textId="77777777" w:rsidR="0071751D" w:rsidRPr="00607B40" w:rsidRDefault="0071751D" w:rsidP="0071751D">
      <w:pPr>
        <w:pBdr>
          <w:top w:val="nil"/>
          <w:left w:val="nil"/>
          <w:bottom w:val="nil"/>
          <w:right w:val="nil"/>
          <w:between w:val="nil"/>
        </w:pBdr>
        <w:spacing w:after="0" w:line="240" w:lineRule="auto"/>
        <w:rPr>
          <w:rFonts w:eastAsia="Cambria" w:cs="Calibri"/>
          <w:szCs w:val="20"/>
        </w:rPr>
      </w:pPr>
      <w:r w:rsidRPr="00607B40">
        <w:rPr>
          <w:rStyle w:val="FootnoteReference"/>
          <w:rFonts w:cs="Calibri"/>
          <w:color w:val="000000" w:themeColor="text1"/>
          <w:szCs w:val="20"/>
        </w:rPr>
        <w:footnoteRef/>
      </w:r>
      <w:r w:rsidRPr="00607B40">
        <w:rPr>
          <w:rFonts w:eastAsia="Cambria" w:cs="Calibri"/>
          <w:color w:val="000000" w:themeColor="text1"/>
          <w:szCs w:val="20"/>
        </w:rPr>
        <w:t xml:space="preserve"> A working definition </w:t>
      </w:r>
      <w:r w:rsidRPr="00607B40">
        <w:rPr>
          <w:rFonts w:eastAsia="Cambria" w:cs="Calibri"/>
          <w:color w:val="000000"/>
          <w:szCs w:val="20"/>
        </w:rPr>
        <w:t>that researchers and practitioners have worked with during the past decade is as follows</w:t>
      </w:r>
      <w:r w:rsidRPr="00607B40">
        <w:rPr>
          <w:rFonts w:eastAsia="Cambria" w:cs="Calibri"/>
          <w:szCs w:val="20"/>
        </w:rPr>
        <w:t xml:space="preserve">: </w:t>
      </w:r>
      <w:r w:rsidRPr="00607B40">
        <w:rPr>
          <w:rFonts w:eastAsia="Cambria" w:cs="Calibri"/>
          <w:i/>
          <w:iCs/>
          <w:szCs w:val="20"/>
        </w:rPr>
        <w:t xml:space="preserve">“Sexual corruption occurs when a person abuses their entrusted authority to obtain a sexual favour in exchange for a service or benefit that is connected to the entrusted authority.” </w:t>
      </w:r>
      <w:r w:rsidRPr="00607B40">
        <w:rPr>
          <w:rFonts w:eastAsia="Cambria" w:cs="Calibri"/>
          <w:szCs w:val="20"/>
        </w:rPr>
        <w:t>This definition identifies three key elements in sexual corruption: (</w:t>
      </w:r>
      <w:proofErr w:type="spellStart"/>
      <w:r w:rsidRPr="00607B40">
        <w:rPr>
          <w:rFonts w:eastAsia="Cambria" w:cs="Calibri"/>
          <w:szCs w:val="20"/>
        </w:rPr>
        <w:t>i</w:t>
      </w:r>
      <w:proofErr w:type="spellEnd"/>
      <w:r w:rsidRPr="00607B40">
        <w:rPr>
          <w:rFonts w:eastAsia="Cambria" w:cs="Calibri"/>
          <w:szCs w:val="20"/>
        </w:rPr>
        <w:t xml:space="preserve">) the abuse of authority, where the individual exploits a position of power for personal benefit, (ii) quid pro quo nature, where a benefit or service is conditioned on giving a sexual favour and (iii) using sex as currency, as sex replaces money in the transaction. Elin </w:t>
      </w:r>
      <w:proofErr w:type="spellStart"/>
      <w:r w:rsidRPr="00607B40">
        <w:rPr>
          <w:rFonts w:eastAsia="Cambria" w:cs="Calibri"/>
          <w:color w:val="000000"/>
          <w:szCs w:val="20"/>
        </w:rPr>
        <w:t>Bjarnegård</w:t>
      </w:r>
      <w:proofErr w:type="spellEnd"/>
      <w:r w:rsidRPr="00607B40">
        <w:rPr>
          <w:rFonts w:eastAsia="Cambria" w:cs="Calibri"/>
          <w:color w:val="000000"/>
          <w:szCs w:val="20"/>
        </w:rPr>
        <w:t xml:space="preserve">, </w:t>
      </w:r>
      <w:r w:rsidRPr="00607B40">
        <w:rPr>
          <w:rFonts w:eastAsia="Cambria" w:cs="Calibri"/>
          <w:szCs w:val="20"/>
        </w:rPr>
        <w:t xml:space="preserve">Dolores </w:t>
      </w:r>
      <w:r w:rsidRPr="00607B40">
        <w:rPr>
          <w:rFonts w:eastAsia="Cambria" w:cs="Calibri"/>
          <w:color w:val="000000"/>
          <w:szCs w:val="20"/>
        </w:rPr>
        <w:t xml:space="preserve">Calvo, </w:t>
      </w:r>
      <w:r w:rsidRPr="00607B40">
        <w:rPr>
          <w:rFonts w:eastAsia="Cambria" w:cs="Calibri"/>
          <w:szCs w:val="20"/>
        </w:rPr>
        <w:t xml:space="preserve">Åsa </w:t>
      </w:r>
      <w:proofErr w:type="spellStart"/>
      <w:r w:rsidRPr="00607B40">
        <w:rPr>
          <w:rFonts w:eastAsia="Cambria" w:cs="Calibri"/>
          <w:color w:val="000000"/>
          <w:szCs w:val="20"/>
        </w:rPr>
        <w:t>Eldén</w:t>
      </w:r>
      <w:proofErr w:type="spellEnd"/>
      <w:r w:rsidRPr="00607B40">
        <w:rPr>
          <w:rFonts w:eastAsia="Cambria" w:cs="Calibri"/>
          <w:color w:val="000000"/>
          <w:szCs w:val="20"/>
        </w:rPr>
        <w:t xml:space="preserve">, </w:t>
      </w:r>
      <w:r w:rsidRPr="00607B40">
        <w:rPr>
          <w:rFonts w:eastAsia="Cambria" w:cs="Calibri"/>
          <w:szCs w:val="20"/>
        </w:rPr>
        <w:t>and</w:t>
      </w:r>
      <w:r w:rsidRPr="00607B40">
        <w:rPr>
          <w:rFonts w:eastAsia="Cambria" w:cs="Calibri"/>
          <w:color w:val="000000"/>
          <w:szCs w:val="20"/>
        </w:rPr>
        <w:t xml:space="preserve"> Silje Lundgren, </w:t>
      </w:r>
      <w:r w:rsidRPr="00607B40">
        <w:rPr>
          <w:rFonts w:eastAsia="Cambria" w:cs="Calibri"/>
          <w:szCs w:val="20"/>
        </w:rPr>
        <w:t>“</w:t>
      </w:r>
      <w:r w:rsidRPr="00607B40">
        <w:rPr>
          <w:rFonts w:eastAsia="Cambria" w:cs="Calibri"/>
          <w:color w:val="000000"/>
          <w:szCs w:val="20"/>
        </w:rPr>
        <w:t>Sexual corruption is abuse of power – and there’s more to it than ‘sextortion’ alone,</w:t>
      </w:r>
      <w:r w:rsidRPr="00607B40">
        <w:rPr>
          <w:rFonts w:eastAsia="Cambria" w:cs="Calibri"/>
          <w:szCs w:val="20"/>
        </w:rPr>
        <w:t>”</w:t>
      </w:r>
      <w:r w:rsidRPr="00607B40">
        <w:rPr>
          <w:rFonts w:eastAsia="Cambria" w:cs="Calibri"/>
          <w:color w:val="000000"/>
          <w:szCs w:val="20"/>
        </w:rPr>
        <w:t xml:space="preserve"> U4 Anti-Corruption Resource Centre</w:t>
      </w:r>
      <w:r w:rsidRPr="00607B40">
        <w:rPr>
          <w:rFonts w:eastAsia="Cambria" w:cs="Calibri"/>
          <w:szCs w:val="20"/>
        </w:rPr>
        <w:t>,</w:t>
      </w:r>
      <w:r w:rsidRPr="00607B40">
        <w:rPr>
          <w:rFonts w:eastAsia="Cambria" w:cs="Calibri"/>
          <w:color w:val="000000"/>
          <w:szCs w:val="20"/>
        </w:rPr>
        <w:t xml:space="preserve"> 2024. </w:t>
      </w:r>
      <w:hyperlink r:id="rId40">
        <w:r w:rsidRPr="00607B40">
          <w:rPr>
            <w:rFonts w:eastAsia="Cambria" w:cs="Calibri"/>
            <w:color w:val="1155CC"/>
            <w:szCs w:val="20"/>
            <w:u w:val="single"/>
          </w:rPr>
          <w:t>https://www.u4.no/blog/sexual-corruption-is-abuse-of-power-and-theres-more-to-it-than-sextortion-alone</w:t>
        </w:r>
      </w:hyperlink>
      <w:r w:rsidRPr="00607B40">
        <w:rPr>
          <w:rFonts w:eastAsia="Cambria" w:cs="Calibri"/>
          <w:szCs w:val="20"/>
        </w:rPr>
        <w:t>.</w:t>
      </w:r>
    </w:p>
  </w:footnote>
  <w:footnote w:id="20">
    <w:p w14:paraId="3DF6237E" w14:textId="77777777" w:rsidR="0071751D" w:rsidRPr="00607B40" w:rsidRDefault="0071751D" w:rsidP="0071751D">
      <w:pPr>
        <w:pBdr>
          <w:top w:val="nil"/>
          <w:left w:val="nil"/>
          <w:bottom w:val="nil"/>
          <w:right w:val="nil"/>
          <w:between w:val="nil"/>
        </w:pBdr>
        <w:spacing w:after="0" w:line="240" w:lineRule="auto"/>
        <w:rPr>
          <w:rFonts w:eastAsia="Cambria" w:cs="Calibri"/>
          <w:color w:val="000000"/>
          <w:szCs w:val="20"/>
        </w:rPr>
      </w:pPr>
      <w:r w:rsidRPr="00607B40">
        <w:rPr>
          <w:rStyle w:val="FootnoteReference"/>
          <w:rFonts w:cs="Calibri"/>
          <w:color w:val="000000" w:themeColor="text1"/>
          <w:szCs w:val="20"/>
        </w:rPr>
        <w:footnoteRef/>
      </w:r>
      <w:r w:rsidRPr="00607B40">
        <w:rPr>
          <w:rFonts w:eastAsia="Cambria" w:cs="Calibri"/>
          <w:color w:val="000000" w:themeColor="text1"/>
          <w:szCs w:val="20"/>
        </w:rPr>
        <w:t xml:space="preserve"> Elin </w:t>
      </w:r>
      <w:proofErr w:type="spellStart"/>
      <w:r w:rsidRPr="00607B40">
        <w:rPr>
          <w:rFonts w:eastAsia="Cambria" w:cs="Calibri"/>
          <w:color w:val="000000" w:themeColor="text1"/>
          <w:szCs w:val="20"/>
          <w:highlight w:val="white"/>
        </w:rPr>
        <w:t>Bjarnegård</w:t>
      </w:r>
      <w:proofErr w:type="spellEnd"/>
      <w:r w:rsidRPr="00607B40">
        <w:rPr>
          <w:rFonts w:eastAsia="Cambria" w:cs="Calibri"/>
          <w:szCs w:val="20"/>
          <w:highlight w:val="white"/>
        </w:rPr>
        <w:t xml:space="preserve">, Dolores Calvo, Åsa </w:t>
      </w:r>
      <w:proofErr w:type="spellStart"/>
      <w:r w:rsidRPr="00607B40">
        <w:rPr>
          <w:rFonts w:eastAsia="Cambria" w:cs="Calibri"/>
          <w:szCs w:val="20"/>
          <w:highlight w:val="white"/>
        </w:rPr>
        <w:t>Eldén</w:t>
      </w:r>
      <w:proofErr w:type="spellEnd"/>
      <w:r w:rsidRPr="00607B40">
        <w:rPr>
          <w:rFonts w:eastAsia="Cambria" w:cs="Calibri"/>
          <w:szCs w:val="20"/>
          <w:highlight w:val="white"/>
        </w:rPr>
        <w:t xml:space="preserve">, and Silje Lundgren, “What is sexual corruption? The challenges of raising awareness and legislating in the absence of recognition,” Forum on Crime and Society 11, no.1 (2025): 1-17. </w:t>
      </w:r>
      <w:hyperlink r:id="rId41">
        <w:r w:rsidRPr="00607B40">
          <w:rPr>
            <w:rFonts w:eastAsia="Cambria" w:cs="Calibri"/>
            <w:color w:val="0563C1"/>
            <w:szCs w:val="20"/>
            <w:highlight w:val="white"/>
            <w:u w:val="single"/>
          </w:rPr>
          <w:t>https://www.unodc.org/documents/data-and-analysis/Forum/Forum_2025/ForumCrimeSociety_Vol11_Chapter1.pdf</w:t>
        </w:r>
      </w:hyperlink>
      <w:r w:rsidRPr="00607B40">
        <w:rPr>
          <w:rFonts w:eastAsia="Cambria" w:cs="Calibri"/>
          <w:szCs w:val="20"/>
        </w:rPr>
        <w:t>.</w:t>
      </w:r>
    </w:p>
  </w:footnote>
  <w:footnote w:id="21">
    <w:p w14:paraId="26BC5E75" w14:textId="7F887403" w:rsidR="0071751D" w:rsidRPr="00607B40" w:rsidRDefault="0071751D" w:rsidP="0071751D">
      <w:pPr>
        <w:spacing w:after="0" w:line="240" w:lineRule="auto"/>
        <w:rPr>
          <w:rFonts w:eastAsia="Cambria" w:cs="Calibri"/>
          <w:szCs w:val="20"/>
        </w:rPr>
      </w:pPr>
      <w:r w:rsidRPr="00607B40">
        <w:rPr>
          <w:rStyle w:val="FootnoteReference"/>
          <w:rFonts w:cs="Calibri"/>
          <w:color w:val="000000" w:themeColor="text1"/>
          <w:szCs w:val="20"/>
        </w:rPr>
        <w:footnoteRef/>
      </w:r>
      <w:r w:rsidRPr="00607B40">
        <w:rPr>
          <w:rFonts w:eastAsia="Cambria" w:cs="Calibri"/>
          <w:color w:val="000000" w:themeColor="text1"/>
          <w:szCs w:val="20"/>
        </w:rPr>
        <w:t xml:space="preserve"> Jenkins, M, </w:t>
      </w:r>
      <w:r w:rsidR="00D1353C" w:rsidRPr="00607B40">
        <w:rPr>
          <w:rFonts w:eastAsia="Cambria" w:cs="Calibri"/>
          <w:color w:val="000000" w:themeColor="text1"/>
          <w:szCs w:val="20"/>
        </w:rPr>
        <w:t>“</w:t>
      </w:r>
      <w:r w:rsidRPr="00607B40">
        <w:rPr>
          <w:rFonts w:eastAsia="Cambria" w:cs="Calibri"/>
          <w:color w:val="000000" w:themeColor="text1"/>
          <w:szCs w:val="20"/>
        </w:rPr>
        <w:t xml:space="preserve">The </w:t>
      </w:r>
      <w:r w:rsidRPr="00607B40">
        <w:rPr>
          <w:rFonts w:eastAsia="Cambria" w:cs="Calibri"/>
          <w:szCs w:val="20"/>
        </w:rPr>
        <w:t>impacts of corruption on women and their role in preventing corruption</w:t>
      </w:r>
      <w:r w:rsidR="00D1353C" w:rsidRPr="00607B40">
        <w:rPr>
          <w:rFonts w:eastAsia="Cambria" w:cs="Calibri"/>
          <w:szCs w:val="20"/>
        </w:rPr>
        <w:t>,”</w:t>
      </w:r>
      <w:r w:rsidRPr="00607B40">
        <w:rPr>
          <w:rFonts w:eastAsia="Cambria" w:cs="Calibri"/>
          <w:szCs w:val="20"/>
        </w:rPr>
        <w:t xml:space="preserve"> U4 Helpdesk Answer, </w:t>
      </w:r>
      <w:r w:rsidR="00D1353C" w:rsidRPr="00607B40">
        <w:rPr>
          <w:rFonts w:eastAsia="Cambria" w:cs="Calibri"/>
          <w:szCs w:val="20"/>
        </w:rPr>
        <w:t xml:space="preserve">2024. </w:t>
      </w:r>
      <w:hyperlink r:id="rId42">
        <w:r w:rsidRPr="00607B40">
          <w:rPr>
            <w:rFonts w:eastAsia="Cambria" w:cs="Calibri"/>
            <w:color w:val="1155CC"/>
            <w:szCs w:val="20"/>
            <w:u w:val="single"/>
          </w:rPr>
          <w:t>https://knowledgehub.transparency.org/assets/uploads/helpdesk/The-impact-of-corruption-on-women-and-their-role-in-preventing-corruption_Final.pdf</w:t>
        </w:r>
      </w:hyperlink>
      <w:r w:rsidRPr="00607B40">
        <w:rPr>
          <w:rFonts w:eastAsia="Cambria" w:cs="Calibri"/>
          <w:szCs w:val="20"/>
        </w:rPr>
        <w:t>.</w:t>
      </w:r>
    </w:p>
  </w:footnote>
  <w:footnote w:id="22">
    <w:p w14:paraId="2380857F" w14:textId="77777777" w:rsidR="0071751D" w:rsidRPr="00607B40" w:rsidRDefault="0071751D" w:rsidP="0071751D">
      <w:pPr>
        <w:pBdr>
          <w:top w:val="nil"/>
          <w:left w:val="nil"/>
          <w:bottom w:val="nil"/>
          <w:right w:val="nil"/>
          <w:between w:val="nil"/>
        </w:pBdr>
        <w:spacing w:after="0" w:line="240" w:lineRule="auto"/>
        <w:rPr>
          <w:rFonts w:eastAsia="Cambria" w:cs="Calibri"/>
          <w:color w:val="000000"/>
          <w:szCs w:val="20"/>
        </w:rPr>
      </w:pPr>
      <w:r w:rsidRPr="00607B40">
        <w:rPr>
          <w:rStyle w:val="FootnoteReference"/>
          <w:rFonts w:cs="Calibri"/>
          <w:color w:val="000000" w:themeColor="text1"/>
          <w:szCs w:val="20"/>
        </w:rPr>
        <w:footnoteRef/>
      </w:r>
      <w:r w:rsidRPr="00607B40">
        <w:rPr>
          <w:rFonts w:eastAsia="Cambria" w:cs="Calibri"/>
          <w:color w:val="000000" w:themeColor="text1"/>
          <w:szCs w:val="20"/>
        </w:rPr>
        <w:t xml:space="preserve"> OP10 of UNODC, Resolution </w:t>
      </w:r>
      <w:r w:rsidRPr="00607B40">
        <w:rPr>
          <w:rFonts w:eastAsia="Cambria" w:cs="Calibri"/>
          <w:color w:val="000000"/>
          <w:szCs w:val="20"/>
        </w:rPr>
        <w:t>10/10</w:t>
      </w:r>
      <w:r w:rsidRPr="00607B40">
        <w:rPr>
          <w:rFonts w:eastAsia="Cambria" w:cs="Calibri"/>
          <w:szCs w:val="20"/>
        </w:rPr>
        <w:t xml:space="preserve"> on Addressing the societal impacts of corruption</w:t>
      </w:r>
      <w:r w:rsidRPr="00607B40">
        <w:rPr>
          <w:rFonts w:eastAsia="Cambria" w:cs="Calibri"/>
          <w:color w:val="000000"/>
          <w:szCs w:val="20"/>
        </w:rPr>
        <w:t xml:space="preserve">, CAC/COSP/2023/L.14/Rev.1, (December 15, 2023). </w:t>
      </w:r>
      <w:hyperlink r:id="rId43">
        <w:r w:rsidRPr="00607B40">
          <w:rPr>
            <w:rFonts w:eastAsia="Cambria" w:cs="Calibri"/>
            <w:color w:val="1155CC"/>
            <w:szCs w:val="20"/>
            <w:u w:val="single"/>
          </w:rPr>
          <w:t>https://www.unodc.org/documents/treaties/UNCAC/COSP/session10/resolutions/L-documents/2325384E_L.14_Rev.1.pdf</w:t>
        </w:r>
      </w:hyperlink>
      <w:r w:rsidRPr="00607B40">
        <w:rPr>
          <w:rFonts w:eastAsia="Cambria" w:cs="Calibri"/>
          <w:szCs w:val="20"/>
        </w:rPr>
        <w:t xml:space="preserve">. </w:t>
      </w:r>
    </w:p>
  </w:footnote>
  <w:footnote w:id="23">
    <w:p w14:paraId="148E2E8F" w14:textId="77777777" w:rsidR="0071751D" w:rsidRPr="00607B40" w:rsidRDefault="0071751D" w:rsidP="0071751D">
      <w:pPr>
        <w:pBdr>
          <w:top w:val="nil"/>
          <w:left w:val="nil"/>
          <w:bottom w:val="nil"/>
          <w:right w:val="nil"/>
          <w:between w:val="nil"/>
        </w:pBdr>
        <w:spacing w:after="0" w:line="240" w:lineRule="auto"/>
        <w:rPr>
          <w:rFonts w:eastAsia="Cambria" w:cs="Calibri"/>
          <w:color w:val="000000"/>
          <w:szCs w:val="20"/>
        </w:rPr>
      </w:pPr>
      <w:r w:rsidRPr="00607B40">
        <w:rPr>
          <w:rStyle w:val="FootnoteReference"/>
          <w:rFonts w:cs="Calibri"/>
          <w:color w:val="000000" w:themeColor="text1"/>
          <w:szCs w:val="20"/>
        </w:rPr>
        <w:footnoteRef/>
      </w:r>
      <w:r w:rsidRPr="00607B40">
        <w:rPr>
          <w:rFonts w:eastAsia="Cambria" w:cs="Calibri"/>
          <w:color w:val="000000" w:themeColor="text1"/>
          <w:szCs w:val="20"/>
        </w:rPr>
        <w:t xml:space="preserve"> Transparency </w:t>
      </w:r>
      <w:r w:rsidRPr="00607B40">
        <w:rPr>
          <w:rFonts w:eastAsia="Cambria" w:cs="Calibri"/>
          <w:szCs w:val="20"/>
        </w:rPr>
        <w:t xml:space="preserve">International. “Gender and Corruption: Forms, Impact and Solutions.” Paper presented at CoSP8, Abu Dhabi, UNODC, 2019. </w:t>
      </w:r>
      <w:hyperlink r:id="rId44">
        <w:r w:rsidRPr="00607B40">
          <w:rPr>
            <w:rFonts w:eastAsia="Cambria" w:cs="Calibri"/>
            <w:color w:val="1155CC"/>
            <w:szCs w:val="20"/>
            <w:u w:val="single"/>
          </w:rPr>
          <w:t>https://www.unodc.org/documents/treaties/UNCAC/COSP/session8/V1911814e.pdf</w:t>
        </w:r>
      </w:hyperlink>
      <w:r w:rsidRPr="00607B40">
        <w:rPr>
          <w:rFonts w:eastAsia="Cambria" w:cs="Calibri"/>
          <w:szCs w:val="20"/>
        </w:rPr>
        <w:t>.</w:t>
      </w:r>
    </w:p>
  </w:footnote>
  <w:footnote w:id="24">
    <w:p w14:paraId="2D9CDA20" w14:textId="77777777" w:rsidR="0071751D" w:rsidRPr="00607B40" w:rsidRDefault="0071751D" w:rsidP="0071751D">
      <w:pPr>
        <w:pBdr>
          <w:top w:val="nil"/>
          <w:left w:val="nil"/>
          <w:bottom w:val="nil"/>
          <w:right w:val="nil"/>
          <w:between w:val="nil"/>
        </w:pBdr>
        <w:spacing w:after="0" w:line="240" w:lineRule="auto"/>
        <w:rPr>
          <w:rFonts w:eastAsia="Cambria" w:cs="Calibri"/>
          <w:color w:val="000000"/>
          <w:szCs w:val="20"/>
        </w:rPr>
      </w:pPr>
      <w:r w:rsidRPr="00607B40">
        <w:rPr>
          <w:rStyle w:val="FootnoteReference"/>
          <w:rFonts w:cs="Calibri"/>
          <w:color w:val="000000" w:themeColor="text1"/>
          <w:szCs w:val="20"/>
        </w:rPr>
        <w:footnoteRef/>
      </w:r>
      <w:r w:rsidRPr="00607B40">
        <w:rPr>
          <w:rFonts w:eastAsia="Cambria" w:cs="Calibri"/>
          <w:color w:val="000000" w:themeColor="text1"/>
          <w:szCs w:val="20"/>
        </w:rPr>
        <w:t xml:space="preserve"> Åsa </w:t>
      </w:r>
      <w:proofErr w:type="spellStart"/>
      <w:r w:rsidRPr="00607B40">
        <w:rPr>
          <w:rFonts w:eastAsia="Cambria" w:cs="Calibri"/>
          <w:color w:val="000000"/>
          <w:szCs w:val="20"/>
        </w:rPr>
        <w:t>Eldén</w:t>
      </w:r>
      <w:proofErr w:type="spellEnd"/>
      <w:r w:rsidRPr="00607B40">
        <w:rPr>
          <w:rFonts w:eastAsia="Cambria" w:cs="Calibri"/>
          <w:szCs w:val="20"/>
        </w:rPr>
        <w:t xml:space="preserve"> and</w:t>
      </w:r>
      <w:r w:rsidRPr="00607B40">
        <w:rPr>
          <w:rFonts w:eastAsia="Cambria" w:cs="Calibri"/>
          <w:color w:val="000000"/>
          <w:szCs w:val="20"/>
        </w:rPr>
        <w:t xml:space="preserve"> Elin </w:t>
      </w:r>
      <w:proofErr w:type="spellStart"/>
      <w:r w:rsidRPr="00607B40">
        <w:rPr>
          <w:rFonts w:eastAsia="Cambria" w:cs="Calibri"/>
          <w:color w:val="000000"/>
          <w:szCs w:val="20"/>
        </w:rPr>
        <w:t>Bjarnegård</w:t>
      </w:r>
      <w:proofErr w:type="spellEnd"/>
      <w:r w:rsidRPr="00607B40">
        <w:rPr>
          <w:rFonts w:eastAsia="Cambria" w:cs="Calibri"/>
          <w:color w:val="000000"/>
          <w:szCs w:val="20"/>
        </w:rPr>
        <w:t xml:space="preserve">, </w:t>
      </w:r>
      <w:r w:rsidRPr="00607B40">
        <w:rPr>
          <w:rFonts w:eastAsia="Cambria" w:cs="Calibri"/>
          <w:szCs w:val="20"/>
        </w:rPr>
        <w:t>“</w:t>
      </w:r>
      <w:r w:rsidRPr="00607B40">
        <w:rPr>
          <w:rFonts w:eastAsia="Cambria" w:cs="Calibri"/>
          <w:color w:val="000000"/>
          <w:szCs w:val="20"/>
        </w:rPr>
        <w:t>Implementing Policy Against Sextortion in Tanzania: A follow-up study,</w:t>
      </w:r>
      <w:r w:rsidRPr="00607B40">
        <w:rPr>
          <w:rFonts w:eastAsia="Cambria" w:cs="Calibri"/>
          <w:szCs w:val="20"/>
        </w:rPr>
        <w:t>”</w:t>
      </w:r>
      <w:r w:rsidRPr="00607B40">
        <w:rPr>
          <w:rFonts w:eastAsia="Cambria" w:cs="Calibri"/>
          <w:color w:val="000000"/>
          <w:szCs w:val="20"/>
        </w:rPr>
        <w:t xml:space="preserve"> The Expert Group for Aid Studies (EBA)</w:t>
      </w:r>
      <w:r w:rsidRPr="00607B40">
        <w:rPr>
          <w:rFonts w:eastAsia="Cambria" w:cs="Calibri"/>
          <w:szCs w:val="20"/>
        </w:rPr>
        <w:t>,</w:t>
      </w:r>
      <w:r w:rsidRPr="00607B40">
        <w:rPr>
          <w:rFonts w:eastAsia="Cambria" w:cs="Calibri"/>
          <w:color w:val="000000"/>
          <w:szCs w:val="20"/>
        </w:rPr>
        <w:t xml:space="preserve"> 2022. </w:t>
      </w:r>
      <w:hyperlink r:id="rId45">
        <w:r w:rsidRPr="00607B40">
          <w:rPr>
            <w:rFonts w:eastAsia="Cambria" w:cs="Calibri"/>
            <w:color w:val="1155CC"/>
            <w:szCs w:val="20"/>
            <w:u w:val="single"/>
          </w:rPr>
          <w:t>https://eba.se/rapporter/implementing-policy-against-sextortion-in-tanzania-a-follow-up-study/20143/</w:t>
        </w:r>
      </w:hyperlink>
      <w:r w:rsidRPr="00607B40">
        <w:rPr>
          <w:rFonts w:eastAsia="Cambria" w:cs="Calibri"/>
          <w:szCs w:val="20"/>
        </w:rPr>
        <w:t>.</w:t>
      </w:r>
      <w:r w:rsidRPr="00607B40">
        <w:rPr>
          <w:rFonts w:eastAsia="Cambria" w:cs="Calibri"/>
          <w:color w:val="000000"/>
          <w:szCs w:val="20"/>
        </w:rPr>
        <w:t xml:space="preserve"> </w:t>
      </w:r>
    </w:p>
  </w:footnote>
  <w:footnote w:id="25">
    <w:p w14:paraId="7568BD9C" w14:textId="77777777" w:rsidR="0071751D" w:rsidRPr="00607B40" w:rsidRDefault="0071751D" w:rsidP="0071751D">
      <w:pPr>
        <w:pBdr>
          <w:top w:val="nil"/>
          <w:left w:val="nil"/>
          <w:bottom w:val="nil"/>
          <w:right w:val="nil"/>
          <w:between w:val="nil"/>
        </w:pBdr>
        <w:spacing w:after="0" w:line="240" w:lineRule="auto"/>
        <w:rPr>
          <w:rFonts w:eastAsia="Cambria" w:cs="Calibri"/>
          <w:color w:val="000000"/>
          <w:szCs w:val="20"/>
        </w:rPr>
      </w:pPr>
      <w:r w:rsidRPr="00607B40">
        <w:rPr>
          <w:rStyle w:val="FootnoteReference"/>
          <w:rFonts w:cs="Calibri"/>
          <w:color w:val="000000" w:themeColor="text1"/>
          <w:szCs w:val="20"/>
        </w:rPr>
        <w:footnoteRef/>
      </w:r>
      <w:r w:rsidRPr="00607B40">
        <w:rPr>
          <w:rFonts w:eastAsia="Cambria" w:cs="Calibri"/>
          <w:color w:val="000000" w:themeColor="text1"/>
          <w:szCs w:val="20"/>
        </w:rPr>
        <w:t xml:space="preserve"> </w:t>
      </w:r>
      <w:hyperlink r:id="rId46">
        <w:r w:rsidRPr="00607B40">
          <w:rPr>
            <w:rFonts w:eastAsia="Cambria" w:cs="Calibri"/>
            <w:color w:val="1155CC"/>
            <w:szCs w:val="20"/>
            <w:u w:val="single"/>
          </w:rPr>
          <w:t>The Prevention and Combatting of Corruption Act</w:t>
        </w:r>
      </w:hyperlink>
      <w:r w:rsidRPr="00607B40">
        <w:rPr>
          <w:rFonts w:eastAsia="Cambria" w:cs="Calibri"/>
          <w:color w:val="000000"/>
          <w:szCs w:val="20"/>
        </w:rPr>
        <w:t xml:space="preserve"> (Section 25) in Tanzania explicitly criminalises sexual corruption, focusing liability on perpetrators. </w:t>
      </w:r>
      <w:r w:rsidRPr="00607B40">
        <w:rPr>
          <w:rFonts w:eastAsia="Cambria" w:cs="Calibri"/>
          <w:szCs w:val="20"/>
        </w:rPr>
        <w:t xml:space="preserve"> Sara Carnegie, “Sextortion: a crime of corruption and sexual exploitation,” International Bar Association, 2019. </w:t>
      </w:r>
      <w:hyperlink r:id="rId47">
        <w:r w:rsidRPr="00607B40">
          <w:rPr>
            <w:rFonts w:eastAsia="Cambria" w:cs="Calibri"/>
            <w:color w:val="0070C0"/>
            <w:szCs w:val="20"/>
            <w:u w:val="single"/>
          </w:rPr>
          <w:t>https://www.ibanet.org/MediaHandler?id=E5E451C2-A883-4518-B0ED-5AAAEBCDD5AA</w:t>
        </w:r>
      </w:hyperlink>
      <w:r w:rsidRPr="00607B40">
        <w:rPr>
          <w:rFonts w:eastAsia="Cambria" w:cs="Calibri"/>
          <w:szCs w:val="20"/>
        </w:rPr>
        <w:t>;</w:t>
      </w:r>
      <w:r w:rsidRPr="00607B40">
        <w:rPr>
          <w:rFonts w:eastAsia="Cambria" w:cs="Calibri"/>
          <w:color w:val="000000"/>
          <w:szCs w:val="20"/>
        </w:rPr>
        <w:t xml:space="preserve"> </w:t>
      </w:r>
      <w:r w:rsidRPr="00607B40">
        <w:rPr>
          <w:rFonts w:eastAsia="Cambria" w:cs="Calibri"/>
          <w:szCs w:val="20"/>
        </w:rPr>
        <w:t xml:space="preserve">Marie </w:t>
      </w:r>
      <w:proofErr w:type="spellStart"/>
      <w:r w:rsidRPr="00607B40">
        <w:rPr>
          <w:rFonts w:eastAsia="Cambria" w:cs="Calibri"/>
          <w:szCs w:val="20"/>
        </w:rPr>
        <w:t>Chêne</w:t>
      </w:r>
      <w:proofErr w:type="spellEnd"/>
      <w:r w:rsidRPr="00607B40">
        <w:rPr>
          <w:rFonts w:eastAsia="Cambria" w:cs="Calibri"/>
          <w:szCs w:val="20"/>
        </w:rPr>
        <w:t xml:space="preserve">, “Finding a Voice, Seeking Justice: The Barriers Women Face to Reporting Corruption in the European Union,” Transparency International, 2021. </w:t>
      </w:r>
      <w:hyperlink r:id="rId48">
        <w:r w:rsidRPr="00607B40">
          <w:rPr>
            <w:rFonts w:eastAsia="Cambria" w:cs="Calibri"/>
            <w:color w:val="0070C0"/>
            <w:szCs w:val="20"/>
            <w:u w:val="single"/>
          </w:rPr>
          <w:t>https://images.transparencycdn.org/images/2021_FindingVoiceSeekingJustice_PositionPaper_Eng.pdf</w:t>
        </w:r>
      </w:hyperlink>
      <w:r w:rsidRPr="00607B40">
        <w:rPr>
          <w:rFonts w:eastAsia="Cambria" w:cs="Calibri"/>
          <w:szCs w:val="20"/>
        </w:rPr>
        <w:t xml:space="preserve">; Elin </w:t>
      </w:r>
      <w:proofErr w:type="spellStart"/>
      <w:r w:rsidRPr="00607B40">
        <w:rPr>
          <w:rFonts w:eastAsia="Cambria" w:cs="Calibri"/>
          <w:szCs w:val="20"/>
        </w:rPr>
        <w:t>Bjarnegård</w:t>
      </w:r>
      <w:proofErr w:type="spellEnd"/>
      <w:r w:rsidRPr="00607B40">
        <w:rPr>
          <w:rFonts w:eastAsia="Cambria" w:cs="Calibri"/>
          <w:szCs w:val="20"/>
        </w:rPr>
        <w:t xml:space="preserve">, Dolores Calvo, Åsa </w:t>
      </w:r>
      <w:proofErr w:type="spellStart"/>
      <w:r w:rsidRPr="00607B40">
        <w:rPr>
          <w:rFonts w:eastAsia="Cambria" w:cs="Calibri"/>
          <w:szCs w:val="20"/>
        </w:rPr>
        <w:t>Eldén</w:t>
      </w:r>
      <w:proofErr w:type="spellEnd"/>
      <w:r w:rsidRPr="00607B40">
        <w:rPr>
          <w:rFonts w:eastAsia="Cambria" w:cs="Calibri"/>
          <w:szCs w:val="20"/>
        </w:rPr>
        <w:t xml:space="preserve">, and Silje Lundgren, “What is sexual corruption? The challenges of raising awareness and legislating in the absence of recognition,” Forum on Crime and Society </w:t>
      </w:r>
      <w:r w:rsidRPr="00607B40">
        <w:rPr>
          <w:rFonts w:eastAsia="Cambria" w:cs="Calibri"/>
          <w:szCs w:val="20"/>
          <w:highlight w:val="white"/>
        </w:rPr>
        <w:t>11, no.1 (2025)</w:t>
      </w:r>
      <w:r w:rsidRPr="00607B40">
        <w:rPr>
          <w:rFonts w:eastAsia="Cambria" w:cs="Calibri"/>
          <w:szCs w:val="20"/>
        </w:rPr>
        <w:t xml:space="preserve">: 1-17. </w:t>
      </w:r>
      <w:hyperlink r:id="rId49">
        <w:r w:rsidRPr="00607B40">
          <w:rPr>
            <w:rFonts w:eastAsia="Cambria" w:cs="Calibri"/>
            <w:color w:val="1155CC"/>
            <w:szCs w:val="20"/>
            <w:u w:val="single"/>
          </w:rPr>
          <w:t>https://www.unodc.org/documents/data-and-analysis/Forum/Forum_2025/ForumCrimeSociety_Vol11_Chapter1.pdf</w:t>
        </w:r>
      </w:hyperlink>
      <w:r w:rsidRPr="00607B40">
        <w:rPr>
          <w:rFonts w:eastAsia="Cambria" w:cs="Calibri"/>
          <w:szCs w:val="20"/>
        </w:rPr>
        <w:t>.</w:t>
      </w:r>
    </w:p>
  </w:footnote>
  <w:footnote w:id="26">
    <w:p w14:paraId="4E3F0E85" w14:textId="77777777" w:rsidR="0071751D" w:rsidRPr="00607B40" w:rsidRDefault="0071751D" w:rsidP="0071751D">
      <w:pPr>
        <w:pBdr>
          <w:top w:val="nil"/>
          <w:left w:val="nil"/>
          <w:bottom w:val="nil"/>
          <w:right w:val="nil"/>
          <w:between w:val="nil"/>
        </w:pBdr>
        <w:spacing w:after="0" w:line="240" w:lineRule="auto"/>
        <w:rPr>
          <w:rFonts w:eastAsia="Cambria" w:cs="Calibri"/>
          <w:color w:val="000000"/>
          <w:szCs w:val="20"/>
        </w:rPr>
      </w:pPr>
      <w:r w:rsidRPr="00607B40">
        <w:rPr>
          <w:rStyle w:val="FootnoteReference"/>
          <w:rFonts w:cs="Calibri"/>
          <w:color w:val="000000" w:themeColor="text1"/>
          <w:szCs w:val="20"/>
        </w:rPr>
        <w:footnoteRef/>
      </w:r>
      <w:r w:rsidRPr="00607B40">
        <w:rPr>
          <w:rFonts w:eastAsia="Cambria" w:cs="Calibri"/>
          <w:color w:val="000000" w:themeColor="text1"/>
          <w:szCs w:val="20"/>
        </w:rPr>
        <w:t xml:space="preserve"> </w:t>
      </w:r>
      <w:r w:rsidRPr="00607B40">
        <w:rPr>
          <w:rFonts w:eastAsia="Cambria" w:cs="Calibri"/>
          <w:color w:val="000000"/>
          <w:szCs w:val="20"/>
        </w:rPr>
        <w:t xml:space="preserve">Susan Rose-Ackerman, </w:t>
      </w:r>
      <w:r w:rsidRPr="00607B40">
        <w:rPr>
          <w:rFonts w:eastAsia="Cambria" w:cs="Calibri"/>
          <w:szCs w:val="20"/>
        </w:rPr>
        <w:t>“</w:t>
      </w:r>
      <w:r w:rsidRPr="00607B40">
        <w:rPr>
          <w:rFonts w:eastAsia="Cambria" w:cs="Calibri"/>
          <w:color w:val="000000"/>
          <w:szCs w:val="20"/>
        </w:rPr>
        <w:t xml:space="preserve">Corruption and </w:t>
      </w:r>
      <w:r w:rsidRPr="00607B40">
        <w:rPr>
          <w:rFonts w:eastAsia="Cambria" w:cs="Calibri"/>
          <w:szCs w:val="20"/>
        </w:rPr>
        <w:t>T</w:t>
      </w:r>
      <w:r w:rsidRPr="00607B40">
        <w:rPr>
          <w:rFonts w:eastAsia="Cambria" w:cs="Calibri"/>
          <w:color w:val="000000"/>
          <w:szCs w:val="20"/>
        </w:rPr>
        <w:t xml:space="preserve">he </w:t>
      </w:r>
      <w:r w:rsidRPr="00607B40">
        <w:rPr>
          <w:rFonts w:eastAsia="Cambria" w:cs="Calibri"/>
          <w:szCs w:val="20"/>
        </w:rPr>
        <w:t>C</w:t>
      </w:r>
      <w:r w:rsidRPr="00607B40">
        <w:rPr>
          <w:rFonts w:eastAsia="Cambria" w:cs="Calibri"/>
          <w:color w:val="000000"/>
          <w:szCs w:val="20"/>
        </w:rPr>
        <w:t xml:space="preserve">riminal </w:t>
      </w:r>
      <w:r w:rsidRPr="00607B40">
        <w:rPr>
          <w:rFonts w:eastAsia="Cambria" w:cs="Calibri"/>
          <w:szCs w:val="20"/>
        </w:rPr>
        <w:t>L</w:t>
      </w:r>
      <w:r w:rsidRPr="00607B40">
        <w:rPr>
          <w:rFonts w:eastAsia="Cambria" w:cs="Calibri"/>
          <w:color w:val="000000"/>
          <w:szCs w:val="20"/>
        </w:rPr>
        <w:t>aw. Forum on Crime and Society</w:t>
      </w:r>
      <w:r w:rsidRPr="00607B40">
        <w:rPr>
          <w:rFonts w:eastAsia="Cambria" w:cs="Calibri"/>
          <w:szCs w:val="20"/>
        </w:rPr>
        <w:t xml:space="preserve">,” Forum on Crime and Society 2, no.1 (2002): 3-21. </w:t>
      </w:r>
      <w:hyperlink r:id="rId50">
        <w:r w:rsidRPr="00607B40">
          <w:rPr>
            <w:rFonts w:eastAsia="Cambria" w:cs="Calibri"/>
            <w:color w:val="1155CC"/>
            <w:szCs w:val="20"/>
            <w:u w:val="single"/>
          </w:rPr>
          <w:t>https://www.unodc.org/pdf/crime/publications/corruption_criminal_law.pdf</w:t>
        </w:r>
      </w:hyperlink>
      <w:r w:rsidRPr="00607B40">
        <w:rPr>
          <w:rFonts w:eastAsia="Cambria" w:cs="Calibri"/>
          <w:szCs w:val="20"/>
        </w:rPr>
        <w:t>.</w:t>
      </w:r>
    </w:p>
  </w:footnote>
  <w:footnote w:id="27">
    <w:p w14:paraId="641CE01A" w14:textId="77777777" w:rsidR="0071751D" w:rsidRPr="00607B40" w:rsidRDefault="0071751D" w:rsidP="0071751D">
      <w:pPr>
        <w:pBdr>
          <w:top w:val="nil"/>
          <w:left w:val="nil"/>
          <w:bottom w:val="nil"/>
          <w:right w:val="nil"/>
          <w:between w:val="nil"/>
        </w:pBdr>
        <w:spacing w:after="0" w:line="240" w:lineRule="auto"/>
        <w:rPr>
          <w:rFonts w:eastAsia="Cambria" w:cs="Calibri"/>
          <w:color w:val="000000"/>
          <w:szCs w:val="20"/>
        </w:rPr>
      </w:pPr>
      <w:r w:rsidRPr="00607B40">
        <w:rPr>
          <w:rStyle w:val="FootnoteReference"/>
          <w:rFonts w:cs="Calibri"/>
          <w:color w:val="000000" w:themeColor="text1"/>
          <w:szCs w:val="20"/>
        </w:rPr>
        <w:footnoteRef/>
      </w:r>
      <w:r w:rsidRPr="00607B40">
        <w:rPr>
          <w:rFonts w:eastAsia="Cambria" w:cs="Calibri"/>
          <w:color w:val="000000" w:themeColor="text1"/>
          <w:szCs w:val="20"/>
        </w:rPr>
        <w:t xml:space="preserve"> UNODC</w:t>
      </w:r>
      <w:r w:rsidRPr="00607B40">
        <w:rPr>
          <w:rFonts w:eastAsia="Cambria" w:cs="Calibri"/>
          <w:szCs w:val="20"/>
        </w:rPr>
        <w:t>,</w:t>
      </w:r>
      <w:r w:rsidRPr="00607B40">
        <w:rPr>
          <w:rFonts w:eastAsia="Cambria" w:cs="Calibri"/>
          <w:color w:val="000000"/>
          <w:szCs w:val="20"/>
        </w:rPr>
        <w:t xml:space="preserve"> </w:t>
      </w:r>
      <w:r w:rsidRPr="00607B40">
        <w:rPr>
          <w:rFonts w:eastAsia="Cambria" w:cs="Calibri"/>
          <w:szCs w:val="20"/>
        </w:rPr>
        <w:t>“</w:t>
      </w:r>
      <w:r w:rsidRPr="00607B40">
        <w:rPr>
          <w:rFonts w:eastAsia="Cambria" w:cs="Calibri"/>
          <w:color w:val="000000"/>
          <w:szCs w:val="20"/>
        </w:rPr>
        <w:t>Effective action against bribery: criminalization and enforcement of national and tran</w:t>
      </w:r>
      <w:r w:rsidRPr="00607B40">
        <w:rPr>
          <w:rFonts w:eastAsia="Cambria" w:cs="Calibri"/>
          <w:szCs w:val="20"/>
        </w:rPr>
        <w:t xml:space="preserve">snational bribery offences under the United Nations Convention against Corruption - Note by the Secretariat”, Implementation Review Group of the Second resumed eleventh session on the State of implementation of the United Nations Convention against Corruption, CAC/COSP/IRG/2020/CRP.16, 2020.  </w:t>
      </w:r>
      <w:hyperlink r:id="rId51">
        <w:r w:rsidRPr="00607B40">
          <w:rPr>
            <w:rFonts w:eastAsia="Cambria" w:cs="Calibri"/>
            <w:color w:val="1155CC"/>
            <w:szCs w:val="20"/>
            <w:u w:val="single"/>
          </w:rPr>
          <w:t>https://www.unodc.org/documents/treaties/UNCAC/WorkingGroups/ImplementationReviewGroup/16-18November2020/V2006560e.pdf</w:t>
        </w:r>
      </w:hyperlink>
      <w:r w:rsidRPr="00607B40">
        <w:rPr>
          <w:rFonts w:eastAsia="Cambria" w:cs="Calibri"/>
          <w:szCs w:val="20"/>
        </w:rPr>
        <w:t>.</w:t>
      </w:r>
    </w:p>
  </w:footnote>
  <w:footnote w:id="28">
    <w:p w14:paraId="42CE32D7" w14:textId="77777777" w:rsidR="0071751D" w:rsidRPr="00607B40" w:rsidRDefault="0071751D" w:rsidP="0071751D">
      <w:pPr>
        <w:pBdr>
          <w:top w:val="nil"/>
          <w:left w:val="nil"/>
          <w:bottom w:val="nil"/>
          <w:right w:val="nil"/>
          <w:between w:val="nil"/>
        </w:pBdr>
        <w:spacing w:after="0" w:line="240" w:lineRule="auto"/>
        <w:rPr>
          <w:rFonts w:eastAsia="Cambria" w:cs="Calibri"/>
          <w:color w:val="000000"/>
          <w:szCs w:val="20"/>
        </w:rPr>
      </w:pPr>
      <w:r w:rsidRPr="00607B40">
        <w:rPr>
          <w:rStyle w:val="FootnoteReference"/>
          <w:rFonts w:cs="Calibri"/>
          <w:color w:val="000000" w:themeColor="text1"/>
          <w:szCs w:val="20"/>
        </w:rPr>
        <w:footnoteRef/>
      </w:r>
      <w:r w:rsidRPr="00607B40">
        <w:rPr>
          <w:rFonts w:eastAsia="Cambria" w:cs="Calibri"/>
          <w:color w:val="000000" w:themeColor="text1"/>
          <w:szCs w:val="20"/>
        </w:rPr>
        <w:t xml:space="preserve"> UNODC</w:t>
      </w:r>
      <w:r w:rsidRPr="00607B40">
        <w:rPr>
          <w:rFonts w:eastAsia="Cambria" w:cs="Calibri"/>
          <w:color w:val="000000"/>
          <w:szCs w:val="20"/>
        </w:rPr>
        <w:t xml:space="preserve">. </w:t>
      </w:r>
      <w:r w:rsidRPr="00607B40">
        <w:rPr>
          <w:rFonts w:eastAsia="Cambria" w:cs="Calibri"/>
          <w:szCs w:val="20"/>
        </w:rPr>
        <w:t xml:space="preserve">“United Nations Convention Against Corruption,” United Nations, 2004. </w:t>
      </w:r>
      <w:hyperlink r:id="rId52">
        <w:r w:rsidRPr="00607B40">
          <w:rPr>
            <w:rFonts w:eastAsia="Cambria" w:cs="Calibri"/>
            <w:color w:val="1155CC"/>
            <w:szCs w:val="20"/>
            <w:u w:val="single"/>
          </w:rPr>
          <w:t>https://www.unodc.org/documents/brussels/UN_Convention_Against_Corruption.pdf</w:t>
        </w:r>
      </w:hyperlink>
      <w:r w:rsidRPr="00607B40">
        <w:rPr>
          <w:rFonts w:eastAsia="Cambria" w:cs="Calibri"/>
          <w:szCs w:val="20"/>
        </w:rPr>
        <w:t>.</w:t>
      </w:r>
    </w:p>
  </w:footnote>
  <w:footnote w:id="29">
    <w:p w14:paraId="7B81436F" w14:textId="77777777" w:rsidR="0071751D" w:rsidRPr="00607B40" w:rsidRDefault="0071751D" w:rsidP="0071751D">
      <w:pPr>
        <w:spacing w:after="0" w:line="240" w:lineRule="auto"/>
        <w:rPr>
          <w:rFonts w:eastAsia="Cambria" w:cs="Calibri"/>
          <w:szCs w:val="20"/>
        </w:rPr>
      </w:pPr>
      <w:r w:rsidRPr="00607B40">
        <w:rPr>
          <w:rStyle w:val="FootnoteReference"/>
          <w:rFonts w:cs="Calibri"/>
          <w:color w:val="000000" w:themeColor="text1"/>
          <w:szCs w:val="20"/>
        </w:rPr>
        <w:footnoteRef/>
      </w:r>
      <w:r w:rsidRPr="00607B40">
        <w:rPr>
          <w:rFonts w:eastAsia="Cambria" w:cs="Calibri"/>
          <w:color w:val="000000" w:themeColor="text1"/>
          <w:szCs w:val="20"/>
        </w:rPr>
        <w:t xml:space="preserve"> Elin </w:t>
      </w:r>
      <w:proofErr w:type="spellStart"/>
      <w:r w:rsidRPr="00607B40">
        <w:rPr>
          <w:rFonts w:eastAsia="Cambria" w:cs="Calibri"/>
          <w:szCs w:val="20"/>
        </w:rPr>
        <w:t>Bjarnegård</w:t>
      </w:r>
      <w:proofErr w:type="spellEnd"/>
      <w:r w:rsidRPr="00607B40">
        <w:rPr>
          <w:rFonts w:eastAsia="Cambria" w:cs="Calibri"/>
          <w:szCs w:val="20"/>
        </w:rPr>
        <w:t xml:space="preserve">, Dolores Calvo, Åsa </w:t>
      </w:r>
      <w:proofErr w:type="spellStart"/>
      <w:r w:rsidRPr="00607B40">
        <w:rPr>
          <w:rFonts w:eastAsia="Cambria" w:cs="Calibri"/>
          <w:szCs w:val="20"/>
        </w:rPr>
        <w:t>Eldén</w:t>
      </w:r>
      <w:proofErr w:type="spellEnd"/>
      <w:r w:rsidRPr="00607B40">
        <w:rPr>
          <w:rFonts w:eastAsia="Cambria" w:cs="Calibri"/>
          <w:szCs w:val="20"/>
        </w:rPr>
        <w:t xml:space="preserve">, and Silje Lundgren, “What is sexual corruption? The challenges of raising awareness and legislating in the absence of recognition,” Forum on Crime and Society </w:t>
      </w:r>
      <w:r w:rsidRPr="00607B40">
        <w:rPr>
          <w:rFonts w:eastAsia="Cambria" w:cs="Calibri"/>
          <w:szCs w:val="20"/>
          <w:highlight w:val="white"/>
        </w:rPr>
        <w:t>11, no.1 (2025)</w:t>
      </w:r>
      <w:r w:rsidRPr="00607B40">
        <w:rPr>
          <w:rFonts w:eastAsia="Cambria" w:cs="Calibri"/>
          <w:szCs w:val="20"/>
        </w:rPr>
        <w:t xml:space="preserve">: 1-17. </w:t>
      </w:r>
      <w:hyperlink r:id="rId53">
        <w:r w:rsidRPr="00607B40">
          <w:rPr>
            <w:rFonts w:eastAsia="Cambria" w:cs="Calibri"/>
            <w:color w:val="1155CC"/>
            <w:szCs w:val="20"/>
            <w:u w:val="single"/>
          </w:rPr>
          <w:t>https://www.unodc.org/documents/data-and-analysis/Forum/Forum_2025/ForumCrimeSociety_Vol11_Chapter1.pdf</w:t>
        </w:r>
      </w:hyperlink>
      <w:r w:rsidRPr="00607B40">
        <w:rPr>
          <w:rFonts w:eastAsia="Cambria" w:cs="Calibri"/>
          <w:szCs w:val="20"/>
        </w:rPr>
        <w:t>.</w:t>
      </w:r>
    </w:p>
  </w:footnote>
  <w:footnote w:id="30">
    <w:p w14:paraId="2904F7A8" w14:textId="5CEF8EEC" w:rsidR="0071751D" w:rsidRPr="00607B40" w:rsidRDefault="0071751D" w:rsidP="0071751D">
      <w:pPr>
        <w:spacing w:after="0" w:line="240" w:lineRule="auto"/>
        <w:rPr>
          <w:rFonts w:eastAsia="Cambria" w:cs="Calibri"/>
          <w:szCs w:val="20"/>
        </w:rPr>
      </w:pPr>
      <w:r w:rsidRPr="00607B40">
        <w:rPr>
          <w:rStyle w:val="FootnoteReference"/>
          <w:rFonts w:cs="Calibri"/>
          <w:color w:val="000000" w:themeColor="text1"/>
          <w:szCs w:val="20"/>
        </w:rPr>
        <w:footnoteRef/>
      </w:r>
      <w:r w:rsidRPr="00607B40">
        <w:rPr>
          <w:rFonts w:eastAsia="Cambria" w:cs="Calibri"/>
          <w:color w:val="000000" w:themeColor="text1"/>
          <w:szCs w:val="20"/>
        </w:rPr>
        <w:t xml:space="preserve"> Timby</w:t>
      </w:r>
      <w:r w:rsidRPr="00607B40">
        <w:rPr>
          <w:rFonts w:eastAsia="Cambria" w:cs="Calibri"/>
          <w:szCs w:val="20"/>
        </w:rPr>
        <w:t xml:space="preserve">. “Using Timby </w:t>
      </w:r>
      <w:r w:rsidR="00D1353C" w:rsidRPr="00607B40">
        <w:rPr>
          <w:rFonts w:eastAsia="Cambria" w:cs="Calibri"/>
          <w:szCs w:val="20"/>
        </w:rPr>
        <w:t>to</w:t>
      </w:r>
      <w:r w:rsidRPr="00607B40">
        <w:rPr>
          <w:rFonts w:eastAsia="Cambria" w:cs="Calibri"/>
          <w:szCs w:val="20"/>
        </w:rPr>
        <w:t xml:space="preserve"> Fight Sextortion </w:t>
      </w:r>
      <w:r w:rsidR="00D1353C" w:rsidRPr="00607B40">
        <w:rPr>
          <w:rFonts w:eastAsia="Cambria" w:cs="Calibri"/>
          <w:szCs w:val="20"/>
        </w:rPr>
        <w:t>in</w:t>
      </w:r>
      <w:r w:rsidRPr="00607B40">
        <w:rPr>
          <w:rFonts w:eastAsia="Cambria" w:cs="Calibri"/>
          <w:szCs w:val="20"/>
        </w:rPr>
        <w:t xml:space="preserve"> Nigerian Universities,” Timby, 2023. </w:t>
      </w:r>
      <w:hyperlink r:id="rId54" w:anchor=":~:text=The%20Timby%20App%20can%20be%20downloaded%20for%20free,guidance%20before%20or%20after%20an%20incident%20has%20occurred" w:history="1">
        <w:r w:rsidR="00D1353C" w:rsidRPr="00607B40">
          <w:rPr>
            <w:rStyle w:val="Hyperlink"/>
            <w:rFonts w:eastAsia="Cambria" w:cs="Calibri"/>
            <w:szCs w:val="20"/>
            <w:u w:val="single"/>
          </w:rPr>
          <w:t>https://timby.org/2023/04/24/Using-Timby-to-Fight-Sextortion-in-Nigerian-Universities.html#:~:text=The%20Timby%20App%20can%20be%20downloaded%20for%20free,guidance%20before%20or%20after%20an%20incident%20has%20occurred</w:t>
        </w:r>
      </w:hyperlink>
      <w:r w:rsidRPr="00607B40">
        <w:rPr>
          <w:rFonts w:eastAsia="Cambria" w:cs="Calibri"/>
          <w:szCs w:val="20"/>
        </w:rPr>
        <w:t xml:space="preserve">. </w:t>
      </w:r>
    </w:p>
  </w:footnote>
  <w:footnote w:id="31">
    <w:p w14:paraId="3E9DA4F3" w14:textId="77777777" w:rsidR="0071751D" w:rsidRPr="00607B40" w:rsidRDefault="0071751D" w:rsidP="0071751D">
      <w:pPr>
        <w:spacing w:after="0" w:line="240" w:lineRule="auto"/>
        <w:rPr>
          <w:rFonts w:cs="Calibri"/>
          <w:szCs w:val="20"/>
        </w:rPr>
      </w:pPr>
      <w:r w:rsidRPr="00607B40">
        <w:rPr>
          <w:rStyle w:val="FootnoteReference"/>
          <w:rFonts w:cs="Calibri"/>
          <w:color w:val="000000" w:themeColor="text1"/>
          <w:szCs w:val="20"/>
        </w:rPr>
        <w:footnoteRef/>
      </w:r>
      <w:r w:rsidRPr="00607B40">
        <w:rPr>
          <w:rFonts w:eastAsia="Cambria" w:cs="Calibri"/>
          <w:color w:val="000000" w:themeColor="text1"/>
          <w:szCs w:val="20"/>
        </w:rPr>
        <w:t xml:space="preserve"> Dr Caryn </w:t>
      </w:r>
      <w:r w:rsidRPr="00607B40">
        <w:rPr>
          <w:rFonts w:eastAsia="Cambria" w:cs="Calibri"/>
          <w:szCs w:val="20"/>
        </w:rPr>
        <w:t xml:space="preserve">Peiffer, “Corruption Through a Gendered Lens: Asia and the Pacific,” Transparency International, 2023. </w:t>
      </w:r>
      <w:hyperlink r:id="rId55">
        <w:r w:rsidRPr="00607B40">
          <w:rPr>
            <w:rFonts w:eastAsia="Cambria" w:cs="Calibri"/>
            <w:color w:val="1155CC"/>
            <w:szCs w:val="20"/>
            <w:u w:val="single"/>
          </w:rPr>
          <w:t>https://files.transparencycdn.org/images/Report-Corruption-through-a-gendered-lens-November-23.pdf</w:t>
        </w:r>
      </w:hyperlink>
      <w:r w:rsidRPr="00607B40">
        <w:rPr>
          <w:rFonts w:cs="Calibri"/>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6AE2D" w14:textId="2588F4C6" w:rsidR="00D7094D" w:rsidRDefault="00000000">
    <w:pPr>
      <w:pStyle w:val="Header"/>
    </w:pPr>
    <w:sdt>
      <w:sdtPr>
        <w:alias w:val="Title"/>
        <w:tag w:val=""/>
        <w:id w:val="-1611743474"/>
        <w:dataBinding w:prefixMappings="xmlns:ns0='http://purl.org/dc/elements/1.1/' xmlns:ns1='http://schemas.openxmlformats.org/package/2006/metadata/core-properties' " w:xpath="/ns1:coreProperties[1]/ns0:title[1]" w:storeItemID="{6C3C8BC8-F283-45AE-878A-BAB7291924A1}"/>
        <w:text/>
      </w:sdtPr>
      <w:sdtContent>
        <w:r w:rsidR="00BC2368">
          <w:t>Advancing Resolution 10/10 by Addressing Sexual Corruption: Understanding and Enforcement</w:t>
        </w:r>
      </w:sdtContent>
    </w:sdt>
    <w:r w:rsidR="00D7094D">
      <w:t xml:space="preserve"> · UNCAC Coalition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13BC4" w14:textId="77777777" w:rsidR="00B155B7" w:rsidRDefault="00B155B7" w:rsidP="00D7094D"/>
  <w:p w14:paraId="7DD39106" w14:textId="64963F24" w:rsidR="00BC2368" w:rsidRDefault="00B155B7" w:rsidP="00D7094D">
    <w:r>
      <w:rPr>
        <w:noProof/>
        <w14:ligatures w14:val="none"/>
        <w14:numForm w14:val="default"/>
        <w14:numSpacing w14:val="default"/>
        <w14:cntxtAlts w14:val="0"/>
      </w:rPr>
      <w:drawing>
        <wp:inline distT="0" distB="0" distL="0" distR="0" wp14:anchorId="507E7C61" wp14:editId="11893F36">
          <wp:extent cx="2514481" cy="655782"/>
          <wp:effectExtent l="0" t="0" r="635" b="5080"/>
          <wp:docPr id="1076034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34536" name="Picture 1076034536"/>
                  <pic:cNvPicPr/>
                </pic:nvPicPr>
                <pic:blipFill>
                  <a:blip r:embed="rId1">
                    <a:extLst>
                      <a:ext uri="{28A0092B-C50C-407E-A947-70E740481C1C}">
                        <a14:useLocalDpi xmlns:a14="http://schemas.microsoft.com/office/drawing/2010/main" val="0"/>
                      </a:ext>
                    </a:extLst>
                  </a:blip>
                  <a:stretch>
                    <a:fillRect/>
                  </a:stretch>
                </pic:blipFill>
                <pic:spPr>
                  <a:xfrm>
                    <a:off x="0" y="0"/>
                    <a:ext cx="2561957" cy="668164"/>
                  </a:xfrm>
                  <a:prstGeom prst="rect">
                    <a:avLst/>
                  </a:prstGeom>
                </pic:spPr>
              </pic:pic>
            </a:graphicData>
          </a:graphic>
        </wp:inline>
      </w:drawing>
    </w:r>
  </w:p>
  <w:p w14:paraId="459606D2" w14:textId="77777777" w:rsidR="00BC2368" w:rsidRDefault="00BC2368" w:rsidP="00D70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DC65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452F4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4CE4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954E4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4A24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524E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0AB6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70C7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30E3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3C488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C1C50"/>
    <w:multiLevelType w:val="multilevel"/>
    <w:tmpl w:val="9A16A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B520530"/>
    <w:multiLevelType w:val="hybridMultilevel"/>
    <w:tmpl w:val="54F6F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633F3F"/>
    <w:multiLevelType w:val="multilevel"/>
    <w:tmpl w:val="CF14D2EC"/>
    <w:numStyleLink w:val="UnorderedList"/>
  </w:abstractNum>
  <w:abstractNum w:abstractNumId="13" w15:restartNumberingAfterBreak="0">
    <w:nsid w:val="143E5593"/>
    <w:multiLevelType w:val="multilevel"/>
    <w:tmpl w:val="7D3A9DA2"/>
    <w:lvl w:ilvl="0">
      <w:start w:val="1"/>
      <w:numFmt w:val="bullet"/>
      <w:pStyle w:val="ListBullet"/>
      <w:lvlText w:val=""/>
      <w:lvlJc w:val="left"/>
      <w:pPr>
        <w:ind w:left="340" w:hanging="340"/>
      </w:pPr>
      <w:rPr>
        <w:rFonts w:ascii="Symbol" w:hAnsi="Symbol" w:hint="default"/>
      </w:rPr>
    </w:lvl>
    <w:lvl w:ilvl="1">
      <w:start w:val="1"/>
      <w:numFmt w:val="bullet"/>
      <w:pStyle w:val="ListBullet2"/>
      <w:lvlText w:val="o"/>
      <w:lvlJc w:val="left"/>
      <w:pPr>
        <w:ind w:left="907" w:hanging="340"/>
      </w:pPr>
      <w:rPr>
        <w:rFonts w:ascii="Courier New" w:hAnsi="Courier New" w:cs="Courier New" w:hint="default"/>
      </w:rPr>
    </w:lvl>
    <w:lvl w:ilvl="2">
      <w:start w:val="1"/>
      <w:numFmt w:val="bullet"/>
      <w:pStyle w:val="ListBullet3"/>
      <w:lvlText w:val=""/>
      <w:lvlJc w:val="left"/>
      <w:pPr>
        <w:ind w:left="1474" w:hanging="340"/>
      </w:pPr>
      <w:rPr>
        <w:rFonts w:ascii="Wingdings" w:hAnsi="Wingdings" w:hint="default"/>
      </w:rPr>
    </w:lvl>
    <w:lvl w:ilvl="3">
      <w:start w:val="1"/>
      <w:numFmt w:val="bullet"/>
      <w:pStyle w:val="ListBullet4"/>
      <w:lvlText w:val=""/>
      <w:lvlJc w:val="left"/>
      <w:pPr>
        <w:ind w:left="2041" w:hanging="340"/>
      </w:pPr>
      <w:rPr>
        <w:rFonts w:ascii="Symbol" w:hAnsi="Symbol" w:hint="default"/>
      </w:rPr>
    </w:lvl>
    <w:lvl w:ilvl="4">
      <w:start w:val="1"/>
      <w:numFmt w:val="bullet"/>
      <w:pStyle w:val="ListBullet5"/>
      <w:lvlText w:val="o"/>
      <w:lvlJc w:val="left"/>
      <w:pPr>
        <w:ind w:left="2608" w:hanging="340"/>
      </w:pPr>
      <w:rPr>
        <w:rFonts w:ascii="Courier New" w:hAnsi="Courier New" w:cs="Courier New" w:hint="default"/>
      </w:rPr>
    </w:lvl>
    <w:lvl w:ilvl="5">
      <w:start w:val="1"/>
      <w:numFmt w:val="bullet"/>
      <w:lvlText w:val=""/>
      <w:lvlJc w:val="left"/>
      <w:pPr>
        <w:ind w:left="3175" w:hanging="340"/>
      </w:pPr>
      <w:rPr>
        <w:rFonts w:ascii="Wingdings" w:hAnsi="Wingdings" w:hint="default"/>
      </w:rPr>
    </w:lvl>
    <w:lvl w:ilvl="6">
      <w:start w:val="1"/>
      <w:numFmt w:val="bullet"/>
      <w:lvlText w:val=""/>
      <w:lvlJc w:val="left"/>
      <w:pPr>
        <w:ind w:left="3742" w:hanging="340"/>
      </w:pPr>
      <w:rPr>
        <w:rFonts w:ascii="Symbol" w:hAnsi="Symbol" w:hint="default"/>
      </w:rPr>
    </w:lvl>
    <w:lvl w:ilvl="7">
      <w:start w:val="1"/>
      <w:numFmt w:val="bullet"/>
      <w:lvlText w:val="o"/>
      <w:lvlJc w:val="left"/>
      <w:pPr>
        <w:ind w:left="4309" w:hanging="340"/>
      </w:pPr>
      <w:rPr>
        <w:rFonts w:ascii="Courier New" w:hAnsi="Courier New" w:cs="Courier New" w:hint="default"/>
      </w:rPr>
    </w:lvl>
    <w:lvl w:ilvl="8">
      <w:start w:val="1"/>
      <w:numFmt w:val="bullet"/>
      <w:lvlText w:val=""/>
      <w:lvlJc w:val="left"/>
      <w:pPr>
        <w:ind w:left="4876" w:hanging="340"/>
      </w:pPr>
      <w:rPr>
        <w:rFonts w:ascii="Wingdings" w:hAnsi="Wingdings" w:hint="default"/>
      </w:rPr>
    </w:lvl>
  </w:abstractNum>
  <w:abstractNum w:abstractNumId="14" w15:restartNumberingAfterBreak="0">
    <w:nsid w:val="155344EF"/>
    <w:multiLevelType w:val="multilevel"/>
    <w:tmpl w:val="B920A6A8"/>
    <w:lvl w:ilvl="0">
      <w:start w:val="1"/>
      <w:numFmt w:val="decimal"/>
      <w:lvlText w:val="%1."/>
      <w:lvlJc w:val="left"/>
      <w:pPr>
        <w:ind w:left="567" w:hanging="340"/>
      </w:pPr>
      <w:rPr>
        <w:rFonts w:hint="default"/>
      </w:rPr>
    </w:lvl>
    <w:lvl w:ilvl="1">
      <w:start w:val="1"/>
      <w:numFmt w:val="lowerLetter"/>
      <w:lvlText w:val="%2."/>
      <w:lvlJc w:val="left"/>
      <w:pPr>
        <w:ind w:left="1134" w:hanging="340"/>
      </w:pPr>
      <w:rPr>
        <w:rFonts w:hint="default"/>
      </w:rPr>
    </w:lvl>
    <w:lvl w:ilvl="2">
      <w:start w:val="1"/>
      <w:numFmt w:val="lowerRoman"/>
      <w:lvlText w:val="%3."/>
      <w:lvlJc w:val="left"/>
      <w:pPr>
        <w:ind w:left="1701" w:hanging="340"/>
      </w:pPr>
      <w:rPr>
        <w:rFonts w:hint="default"/>
      </w:rPr>
    </w:lvl>
    <w:lvl w:ilvl="3">
      <w:start w:val="1"/>
      <w:numFmt w:val="decimal"/>
      <w:lvlText w:val="%4."/>
      <w:lvlJc w:val="left"/>
      <w:pPr>
        <w:ind w:left="2268" w:hanging="340"/>
      </w:pPr>
      <w:rPr>
        <w:rFonts w:hint="default"/>
      </w:rPr>
    </w:lvl>
    <w:lvl w:ilvl="4">
      <w:start w:val="1"/>
      <w:numFmt w:val="lowerLetter"/>
      <w:lvlText w:val="%5."/>
      <w:lvlJc w:val="left"/>
      <w:pPr>
        <w:ind w:left="2835" w:hanging="340"/>
      </w:pPr>
      <w:rPr>
        <w:rFonts w:hint="default"/>
      </w:rPr>
    </w:lvl>
    <w:lvl w:ilvl="5">
      <w:start w:val="1"/>
      <w:numFmt w:val="lowerRoman"/>
      <w:lvlText w:val="%6."/>
      <w:lvlJc w:val="left"/>
      <w:pPr>
        <w:ind w:left="3402" w:hanging="340"/>
      </w:pPr>
      <w:rPr>
        <w:rFonts w:hint="default"/>
      </w:rPr>
    </w:lvl>
    <w:lvl w:ilvl="6">
      <w:start w:val="1"/>
      <w:numFmt w:val="decimal"/>
      <w:lvlText w:val="%7."/>
      <w:lvlJc w:val="left"/>
      <w:pPr>
        <w:ind w:left="3969" w:hanging="340"/>
      </w:pPr>
      <w:rPr>
        <w:rFonts w:hint="default"/>
      </w:rPr>
    </w:lvl>
    <w:lvl w:ilvl="7">
      <w:start w:val="1"/>
      <w:numFmt w:val="lowerLetter"/>
      <w:lvlText w:val="%8."/>
      <w:lvlJc w:val="left"/>
      <w:pPr>
        <w:ind w:left="4536" w:hanging="340"/>
      </w:pPr>
      <w:rPr>
        <w:rFonts w:hint="default"/>
      </w:rPr>
    </w:lvl>
    <w:lvl w:ilvl="8">
      <w:start w:val="1"/>
      <w:numFmt w:val="lowerRoman"/>
      <w:lvlText w:val="%9."/>
      <w:lvlJc w:val="left"/>
      <w:pPr>
        <w:ind w:left="5103" w:hanging="340"/>
      </w:pPr>
      <w:rPr>
        <w:rFonts w:hint="default"/>
      </w:rPr>
    </w:lvl>
  </w:abstractNum>
  <w:abstractNum w:abstractNumId="15" w15:restartNumberingAfterBreak="0">
    <w:nsid w:val="15742AD9"/>
    <w:multiLevelType w:val="multilevel"/>
    <w:tmpl w:val="CF14D2EC"/>
    <w:numStyleLink w:val="UnorderedList"/>
  </w:abstractNum>
  <w:abstractNum w:abstractNumId="16" w15:restartNumberingAfterBreak="0">
    <w:nsid w:val="16EE537E"/>
    <w:multiLevelType w:val="multilevel"/>
    <w:tmpl w:val="BA109B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1DC3B1D"/>
    <w:multiLevelType w:val="multilevel"/>
    <w:tmpl w:val="B920A6A8"/>
    <w:lvl w:ilvl="0">
      <w:start w:val="1"/>
      <w:numFmt w:val="decimal"/>
      <w:pStyle w:val="ListNumber"/>
      <w:lvlText w:val="%1."/>
      <w:lvlJc w:val="left"/>
      <w:pPr>
        <w:ind w:left="567" w:hanging="340"/>
      </w:pPr>
      <w:rPr>
        <w:rFonts w:hint="default"/>
      </w:rPr>
    </w:lvl>
    <w:lvl w:ilvl="1">
      <w:start w:val="1"/>
      <w:numFmt w:val="lowerLetter"/>
      <w:pStyle w:val="ListNumber2"/>
      <w:lvlText w:val="%2."/>
      <w:lvlJc w:val="left"/>
      <w:pPr>
        <w:ind w:left="1134" w:hanging="340"/>
      </w:pPr>
      <w:rPr>
        <w:rFonts w:hint="default"/>
      </w:rPr>
    </w:lvl>
    <w:lvl w:ilvl="2">
      <w:start w:val="1"/>
      <w:numFmt w:val="lowerRoman"/>
      <w:pStyle w:val="ListNumber3"/>
      <w:lvlText w:val="%3."/>
      <w:lvlJc w:val="left"/>
      <w:pPr>
        <w:ind w:left="1701" w:hanging="340"/>
      </w:pPr>
      <w:rPr>
        <w:rFonts w:hint="default"/>
      </w:rPr>
    </w:lvl>
    <w:lvl w:ilvl="3">
      <w:start w:val="1"/>
      <w:numFmt w:val="decimal"/>
      <w:pStyle w:val="ListNumber4"/>
      <w:lvlText w:val="%4."/>
      <w:lvlJc w:val="left"/>
      <w:pPr>
        <w:ind w:left="2268" w:hanging="340"/>
      </w:pPr>
      <w:rPr>
        <w:rFonts w:hint="default"/>
      </w:rPr>
    </w:lvl>
    <w:lvl w:ilvl="4">
      <w:start w:val="1"/>
      <w:numFmt w:val="lowerLetter"/>
      <w:pStyle w:val="ListNumber5"/>
      <w:lvlText w:val="%5."/>
      <w:lvlJc w:val="left"/>
      <w:pPr>
        <w:ind w:left="2835" w:hanging="340"/>
      </w:pPr>
      <w:rPr>
        <w:rFonts w:hint="default"/>
      </w:rPr>
    </w:lvl>
    <w:lvl w:ilvl="5">
      <w:start w:val="1"/>
      <w:numFmt w:val="lowerRoman"/>
      <w:lvlText w:val="%6."/>
      <w:lvlJc w:val="left"/>
      <w:pPr>
        <w:ind w:left="3402" w:hanging="340"/>
      </w:pPr>
      <w:rPr>
        <w:rFonts w:hint="default"/>
      </w:rPr>
    </w:lvl>
    <w:lvl w:ilvl="6">
      <w:start w:val="1"/>
      <w:numFmt w:val="decimal"/>
      <w:lvlText w:val="%7."/>
      <w:lvlJc w:val="left"/>
      <w:pPr>
        <w:ind w:left="3969" w:hanging="340"/>
      </w:pPr>
      <w:rPr>
        <w:rFonts w:hint="default"/>
      </w:rPr>
    </w:lvl>
    <w:lvl w:ilvl="7">
      <w:start w:val="1"/>
      <w:numFmt w:val="lowerLetter"/>
      <w:lvlText w:val="%8."/>
      <w:lvlJc w:val="left"/>
      <w:pPr>
        <w:ind w:left="4536" w:hanging="340"/>
      </w:pPr>
      <w:rPr>
        <w:rFonts w:hint="default"/>
      </w:rPr>
    </w:lvl>
    <w:lvl w:ilvl="8">
      <w:start w:val="1"/>
      <w:numFmt w:val="lowerRoman"/>
      <w:lvlText w:val="%9."/>
      <w:lvlJc w:val="left"/>
      <w:pPr>
        <w:ind w:left="5103" w:hanging="340"/>
      </w:pPr>
      <w:rPr>
        <w:rFonts w:hint="default"/>
      </w:rPr>
    </w:lvl>
  </w:abstractNum>
  <w:abstractNum w:abstractNumId="18" w15:restartNumberingAfterBreak="0">
    <w:nsid w:val="22391165"/>
    <w:multiLevelType w:val="hybridMultilevel"/>
    <w:tmpl w:val="1194AE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5AE2DF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6F07302"/>
    <w:multiLevelType w:val="multilevel"/>
    <w:tmpl w:val="DF1E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998613A"/>
    <w:multiLevelType w:val="multilevel"/>
    <w:tmpl w:val="8E9201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C852241"/>
    <w:multiLevelType w:val="multilevel"/>
    <w:tmpl w:val="9B7C8FD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3" w15:restartNumberingAfterBreak="0">
    <w:nsid w:val="31EC6563"/>
    <w:multiLevelType w:val="multilevel"/>
    <w:tmpl w:val="8E9201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59B4393"/>
    <w:multiLevelType w:val="hybridMultilevel"/>
    <w:tmpl w:val="259AE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BE7E87"/>
    <w:multiLevelType w:val="multilevel"/>
    <w:tmpl w:val="86829178"/>
    <w:lvl w:ilvl="0">
      <w:start w:val="1"/>
      <w:numFmt w:val="decimal"/>
      <w:lvlText w:val="%1."/>
      <w:lvlJc w:val="right"/>
      <w:pPr>
        <w:ind w:left="567" w:hanging="170"/>
      </w:pPr>
      <w:rPr>
        <w:rFonts w:hint="default"/>
      </w:rPr>
    </w:lvl>
    <w:lvl w:ilvl="1">
      <w:start w:val="1"/>
      <w:numFmt w:val="lowerLetter"/>
      <w:lvlText w:val="%2."/>
      <w:lvlJc w:val="right"/>
      <w:pPr>
        <w:ind w:left="1134" w:hanging="170"/>
      </w:pPr>
      <w:rPr>
        <w:rFonts w:hint="default"/>
      </w:rPr>
    </w:lvl>
    <w:lvl w:ilvl="2">
      <w:start w:val="1"/>
      <w:numFmt w:val="lowerRoman"/>
      <w:lvlText w:val="%3."/>
      <w:lvlJc w:val="right"/>
      <w:pPr>
        <w:ind w:left="1701" w:hanging="170"/>
      </w:pPr>
      <w:rPr>
        <w:rFonts w:hint="default"/>
      </w:rPr>
    </w:lvl>
    <w:lvl w:ilvl="3">
      <w:start w:val="1"/>
      <w:numFmt w:val="decimal"/>
      <w:lvlText w:val="%4."/>
      <w:lvlJc w:val="right"/>
      <w:pPr>
        <w:ind w:left="2268" w:hanging="170"/>
      </w:pPr>
      <w:rPr>
        <w:rFonts w:hint="default"/>
      </w:rPr>
    </w:lvl>
    <w:lvl w:ilvl="4">
      <w:start w:val="1"/>
      <w:numFmt w:val="lowerLetter"/>
      <w:lvlText w:val="%5."/>
      <w:lvlJc w:val="right"/>
      <w:pPr>
        <w:ind w:left="2835" w:hanging="170"/>
      </w:pPr>
      <w:rPr>
        <w:rFonts w:hint="default"/>
      </w:rPr>
    </w:lvl>
    <w:lvl w:ilvl="5">
      <w:start w:val="1"/>
      <w:numFmt w:val="lowerRoman"/>
      <w:lvlText w:val="%6."/>
      <w:lvlJc w:val="right"/>
      <w:pPr>
        <w:ind w:left="3402" w:hanging="170"/>
      </w:pPr>
      <w:rPr>
        <w:rFonts w:hint="default"/>
      </w:rPr>
    </w:lvl>
    <w:lvl w:ilvl="6">
      <w:start w:val="1"/>
      <w:numFmt w:val="decimal"/>
      <w:lvlText w:val="%7."/>
      <w:lvlJc w:val="right"/>
      <w:pPr>
        <w:ind w:left="3969" w:hanging="170"/>
      </w:pPr>
      <w:rPr>
        <w:rFonts w:hint="default"/>
      </w:rPr>
    </w:lvl>
    <w:lvl w:ilvl="7">
      <w:start w:val="1"/>
      <w:numFmt w:val="lowerLetter"/>
      <w:lvlText w:val="%8."/>
      <w:lvlJc w:val="right"/>
      <w:pPr>
        <w:ind w:left="4536" w:hanging="170"/>
      </w:pPr>
      <w:rPr>
        <w:rFonts w:hint="default"/>
      </w:rPr>
    </w:lvl>
    <w:lvl w:ilvl="8">
      <w:start w:val="1"/>
      <w:numFmt w:val="lowerRoman"/>
      <w:lvlText w:val="%9."/>
      <w:lvlJc w:val="right"/>
      <w:pPr>
        <w:ind w:left="5103" w:hanging="170"/>
      </w:pPr>
      <w:rPr>
        <w:rFonts w:hint="default"/>
      </w:rPr>
    </w:lvl>
  </w:abstractNum>
  <w:abstractNum w:abstractNumId="26" w15:restartNumberingAfterBreak="0">
    <w:nsid w:val="383C2101"/>
    <w:multiLevelType w:val="multilevel"/>
    <w:tmpl w:val="CF14D2EC"/>
    <w:numStyleLink w:val="UnorderedList"/>
  </w:abstractNum>
  <w:abstractNum w:abstractNumId="27" w15:restartNumberingAfterBreak="0">
    <w:nsid w:val="387D5039"/>
    <w:multiLevelType w:val="multilevel"/>
    <w:tmpl w:val="CF14D2EC"/>
    <w:styleLink w:val="UnorderedList"/>
    <w:lvl w:ilvl="0">
      <w:start w:val="1"/>
      <w:numFmt w:val="bullet"/>
      <w:lvlText w:val="●"/>
      <w:lvlJc w:val="left"/>
      <w:pPr>
        <w:ind w:left="567" w:hanging="312"/>
      </w:pPr>
      <w:rPr>
        <w:rFonts w:ascii="Noto Sans" w:hAnsi="Noto Sans" w:hint="default"/>
      </w:rPr>
    </w:lvl>
    <w:lvl w:ilvl="1">
      <w:start w:val="1"/>
      <w:numFmt w:val="bullet"/>
      <w:lvlText w:val="○"/>
      <w:lvlJc w:val="left"/>
      <w:pPr>
        <w:ind w:left="1134" w:hanging="312"/>
      </w:pPr>
      <w:rPr>
        <w:rFonts w:ascii="Noto Sans" w:hAnsi="Noto Sans" w:hint="default"/>
      </w:rPr>
    </w:lvl>
    <w:lvl w:ilvl="2">
      <w:start w:val="1"/>
      <w:numFmt w:val="bullet"/>
      <w:lvlText w:val="▪"/>
      <w:lvlJc w:val="left"/>
      <w:pPr>
        <w:ind w:left="1701" w:hanging="312"/>
      </w:pPr>
      <w:rPr>
        <w:rFonts w:ascii="Noto Sans" w:hAnsi="Noto Sans" w:hint="default"/>
      </w:rPr>
    </w:lvl>
    <w:lvl w:ilvl="3">
      <w:start w:val="1"/>
      <w:numFmt w:val="bullet"/>
      <w:lvlText w:val="▫"/>
      <w:lvlJc w:val="left"/>
      <w:pPr>
        <w:ind w:left="2268" w:hanging="312"/>
      </w:pPr>
      <w:rPr>
        <w:rFonts w:ascii="Noto Sans" w:hAnsi="Noto Sans" w:hint="default"/>
      </w:rPr>
    </w:lvl>
    <w:lvl w:ilvl="4">
      <w:start w:val="1"/>
      <w:numFmt w:val="bullet"/>
      <w:lvlText w:val="•"/>
      <w:lvlJc w:val="left"/>
      <w:pPr>
        <w:ind w:left="2835" w:hanging="312"/>
      </w:pPr>
      <w:rPr>
        <w:rFonts w:ascii="Noto Sans" w:hAnsi="Noto Sans" w:hint="default"/>
      </w:rPr>
    </w:lvl>
    <w:lvl w:ilvl="5">
      <w:start w:val="1"/>
      <w:numFmt w:val="bullet"/>
      <w:lvlText w:val="◦"/>
      <w:lvlJc w:val="left"/>
      <w:pPr>
        <w:ind w:left="3402" w:hanging="312"/>
      </w:pPr>
      <w:rPr>
        <w:rFonts w:ascii="Noto Sans" w:hAnsi="Noto Sans" w:hint="default"/>
      </w:rPr>
    </w:lvl>
    <w:lvl w:ilvl="6">
      <w:start w:val="1"/>
      <w:numFmt w:val="bullet"/>
      <w:lvlText w:val="▪"/>
      <w:lvlJc w:val="left"/>
      <w:pPr>
        <w:ind w:left="3969" w:hanging="312"/>
      </w:pPr>
      <w:rPr>
        <w:rFonts w:ascii="Noto Sans" w:hAnsi="Noto Sans" w:hint="default"/>
      </w:rPr>
    </w:lvl>
    <w:lvl w:ilvl="7">
      <w:start w:val="1"/>
      <w:numFmt w:val="bullet"/>
      <w:lvlText w:val="▫"/>
      <w:lvlJc w:val="left"/>
      <w:pPr>
        <w:ind w:left="4536" w:hanging="312"/>
      </w:pPr>
      <w:rPr>
        <w:rFonts w:ascii="Noto Sans" w:hAnsi="Noto Sans" w:hint="default"/>
      </w:rPr>
    </w:lvl>
    <w:lvl w:ilvl="8">
      <w:start w:val="1"/>
      <w:numFmt w:val="bullet"/>
      <w:lvlText w:val="•"/>
      <w:lvlJc w:val="left"/>
      <w:pPr>
        <w:ind w:left="5103" w:hanging="312"/>
      </w:pPr>
      <w:rPr>
        <w:rFonts w:ascii="Noto Sans" w:hAnsi="Noto Sans" w:hint="default"/>
      </w:rPr>
    </w:lvl>
  </w:abstractNum>
  <w:abstractNum w:abstractNumId="28" w15:restartNumberingAfterBreak="0">
    <w:nsid w:val="3B4F7BF7"/>
    <w:multiLevelType w:val="multilevel"/>
    <w:tmpl w:val="86829178"/>
    <w:styleLink w:val="OrderedList"/>
    <w:lvl w:ilvl="0">
      <w:start w:val="1"/>
      <w:numFmt w:val="decimal"/>
      <w:lvlText w:val="%1."/>
      <w:lvlJc w:val="right"/>
      <w:pPr>
        <w:ind w:left="567" w:hanging="170"/>
      </w:pPr>
      <w:rPr>
        <w:rFonts w:hint="default"/>
      </w:rPr>
    </w:lvl>
    <w:lvl w:ilvl="1">
      <w:start w:val="1"/>
      <w:numFmt w:val="lowerLetter"/>
      <w:lvlText w:val="%2."/>
      <w:lvlJc w:val="right"/>
      <w:pPr>
        <w:ind w:left="1134" w:hanging="170"/>
      </w:pPr>
      <w:rPr>
        <w:rFonts w:hint="default"/>
      </w:rPr>
    </w:lvl>
    <w:lvl w:ilvl="2">
      <w:start w:val="1"/>
      <w:numFmt w:val="lowerRoman"/>
      <w:lvlText w:val="%3."/>
      <w:lvlJc w:val="right"/>
      <w:pPr>
        <w:ind w:left="1701" w:hanging="170"/>
      </w:pPr>
      <w:rPr>
        <w:rFonts w:hint="default"/>
      </w:rPr>
    </w:lvl>
    <w:lvl w:ilvl="3">
      <w:start w:val="1"/>
      <w:numFmt w:val="decimal"/>
      <w:lvlText w:val="%4."/>
      <w:lvlJc w:val="right"/>
      <w:pPr>
        <w:ind w:left="2268" w:hanging="170"/>
      </w:pPr>
      <w:rPr>
        <w:rFonts w:hint="default"/>
      </w:rPr>
    </w:lvl>
    <w:lvl w:ilvl="4">
      <w:start w:val="1"/>
      <w:numFmt w:val="lowerLetter"/>
      <w:lvlText w:val="%5."/>
      <w:lvlJc w:val="right"/>
      <w:pPr>
        <w:ind w:left="2835" w:hanging="170"/>
      </w:pPr>
      <w:rPr>
        <w:rFonts w:hint="default"/>
      </w:rPr>
    </w:lvl>
    <w:lvl w:ilvl="5">
      <w:start w:val="1"/>
      <w:numFmt w:val="lowerRoman"/>
      <w:lvlText w:val="%6."/>
      <w:lvlJc w:val="right"/>
      <w:pPr>
        <w:ind w:left="3402" w:hanging="170"/>
      </w:pPr>
      <w:rPr>
        <w:rFonts w:hint="default"/>
      </w:rPr>
    </w:lvl>
    <w:lvl w:ilvl="6">
      <w:start w:val="1"/>
      <w:numFmt w:val="decimal"/>
      <w:lvlText w:val="%7."/>
      <w:lvlJc w:val="right"/>
      <w:pPr>
        <w:ind w:left="3969" w:hanging="170"/>
      </w:pPr>
      <w:rPr>
        <w:rFonts w:hint="default"/>
      </w:rPr>
    </w:lvl>
    <w:lvl w:ilvl="7">
      <w:start w:val="1"/>
      <w:numFmt w:val="lowerLetter"/>
      <w:lvlText w:val="%8."/>
      <w:lvlJc w:val="right"/>
      <w:pPr>
        <w:ind w:left="4536" w:hanging="170"/>
      </w:pPr>
      <w:rPr>
        <w:rFonts w:hint="default"/>
      </w:rPr>
    </w:lvl>
    <w:lvl w:ilvl="8">
      <w:start w:val="1"/>
      <w:numFmt w:val="lowerRoman"/>
      <w:lvlText w:val="%9."/>
      <w:lvlJc w:val="right"/>
      <w:pPr>
        <w:ind w:left="5103" w:hanging="170"/>
      </w:pPr>
      <w:rPr>
        <w:rFonts w:hint="default"/>
      </w:rPr>
    </w:lvl>
  </w:abstractNum>
  <w:abstractNum w:abstractNumId="29" w15:restartNumberingAfterBreak="0">
    <w:nsid w:val="4514415F"/>
    <w:multiLevelType w:val="multilevel"/>
    <w:tmpl w:val="86829178"/>
    <w:lvl w:ilvl="0">
      <w:start w:val="1"/>
      <w:numFmt w:val="decimal"/>
      <w:lvlText w:val="%1."/>
      <w:lvlJc w:val="right"/>
      <w:pPr>
        <w:ind w:left="567" w:hanging="170"/>
      </w:pPr>
      <w:rPr>
        <w:rFonts w:hint="default"/>
      </w:rPr>
    </w:lvl>
    <w:lvl w:ilvl="1">
      <w:start w:val="1"/>
      <w:numFmt w:val="lowerLetter"/>
      <w:lvlText w:val="%2."/>
      <w:lvlJc w:val="right"/>
      <w:pPr>
        <w:ind w:left="1134" w:hanging="170"/>
      </w:pPr>
      <w:rPr>
        <w:rFonts w:hint="default"/>
      </w:rPr>
    </w:lvl>
    <w:lvl w:ilvl="2">
      <w:start w:val="1"/>
      <w:numFmt w:val="lowerRoman"/>
      <w:lvlText w:val="%3."/>
      <w:lvlJc w:val="right"/>
      <w:pPr>
        <w:ind w:left="1701" w:hanging="170"/>
      </w:pPr>
      <w:rPr>
        <w:rFonts w:hint="default"/>
      </w:rPr>
    </w:lvl>
    <w:lvl w:ilvl="3">
      <w:start w:val="1"/>
      <w:numFmt w:val="decimal"/>
      <w:lvlText w:val="%4."/>
      <w:lvlJc w:val="right"/>
      <w:pPr>
        <w:ind w:left="2268" w:hanging="170"/>
      </w:pPr>
      <w:rPr>
        <w:rFonts w:hint="default"/>
      </w:rPr>
    </w:lvl>
    <w:lvl w:ilvl="4">
      <w:start w:val="1"/>
      <w:numFmt w:val="lowerLetter"/>
      <w:lvlText w:val="%5."/>
      <w:lvlJc w:val="right"/>
      <w:pPr>
        <w:ind w:left="2835" w:hanging="170"/>
      </w:pPr>
      <w:rPr>
        <w:rFonts w:hint="default"/>
      </w:rPr>
    </w:lvl>
    <w:lvl w:ilvl="5">
      <w:start w:val="1"/>
      <w:numFmt w:val="lowerRoman"/>
      <w:lvlText w:val="%6."/>
      <w:lvlJc w:val="right"/>
      <w:pPr>
        <w:ind w:left="3402" w:hanging="170"/>
      </w:pPr>
      <w:rPr>
        <w:rFonts w:hint="default"/>
      </w:rPr>
    </w:lvl>
    <w:lvl w:ilvl="6">
      <w:start w:val="1"/>
      <w:numFmt w:val="decimal"/>
      <w:lvlText w:val="%7."/>
      <w:lvlJc w:val="right"/>
      <w:pPr>
        <w:ind w:left="3969" w:hanging="170"/>
      </w:pPr>
      <w:rPr>
        <w:rFonts w:hint="default"/>
      </w:rPr>
    </w:lvl>
    <w:lvl w:ilvl="7">
      <w:start w:val="1"/>
      <w:numFmt w:val="lowerLetter"/>
      <w:lvlText w:val="%8."/>
      <w:lvlJc w:val="right"/>
      <w:pPr>
        <w:ind w:left="4536" w:hanging="170"/>
      </w:pPr>
      <w:rPr>
        <w:rFonts w:hint="default"/>
      </w:rPr>
    </w:lvl>
    <w:lvl w:ilvl="8">
      <w:start w:val="1"/>
      <w:numFmt w:val="lowerRoman"/>
      <w:lvlText w:val="%9."/>
      <w:lvlJc w:val="right"/>
      <w:pPr>
        <w:ind w:left="5103" w:hanging="170"/>
      </w:pPr>
      <w:rPr>
        <w:rFonts w:hint="default"/>
      </w:rPr>
    </w:lvl>
  </w:abstractNum>
  <w:abstractNum w:abstractNumId="30" w15:restartNumberingAfterBreak="0">
    <w:nsid w:val="4A2958EF"/>
    <w:multiLevelType w:val="multilevel"/>
    <w:tmpl w:val="CF14D2EC"/>
    <w:lvl w:ilvl="0">
      <w:start w:val="1"/>
      <w:numFmt w:val="bullet"/>
      <w:lvlText w:val="●"/>
      <w:lvlJc w:val="left"/>
      <w:pPr>
        <w:ind w:left="567" w:hanging="312"/>
      </w:pPr>
      <w:rPr>
        <w:rFonts w:ascii="Noto Sans" w:hAnsi="Noto Sans" w:hint="default"/>
      </w:rPr>
    </w:lvl>
    <w:lvl w:ilvl="1">
      <w:start w:val="1"/>
      <w:numFmt w:val="bullet"/>
      <w:lvlText w:val="○"/>
      <w:lvlJc w:val="left"/>
      <w:pPr>
        <w:ind w:left="1134" w:hanging="312"/>
      </w:pPr>
      <w:rPr>
        <w:rFonts w:ascii="Noto Sans" w:hAnsi="Noto Sans" w:hint="default"/>
      </w:rPr>
    </w:lvl>
    <w:lvl w:ilvl="2">
      <w:start w:val="1"/>
      <w:numFmt w:val="bullet"/>
      <w:lvlText w:val="▪"/>
      <w:lvlJc w:val="left"/>
      <w:pPr>
        <w:ind w:left="1701" w:hanging="312"/>
      </w:pPr>
      <w:rPr>
        <w:rFonts w:ascii="Noto Sans" w:hAnsi="Noto Sans" w:hint="default"/>
      </w:rPr>
    </w:lvl>
    <w:lvl w:ilvl="3">
      <w:start w:val="1"/>
      <w:numFmt w:val="bullet"/>
      <w:lvlText w:val="▫"/>
      <w:lvlJc w:val="left"/>
      <w:pPr>
        <w:ind w:left="2268" w:hanging="312"/>
      </w:pPr>
      <w:rPr>
        <w:rFonts w:ascii="Noto Sans" w:hAnsi="Noto Sans" w:hint="default"/>
      </w:rPr>
    </w:lvl>
    <w:lvl w:ilvl="4">
      <w:start w:val="1"/>
      <w:numFmt w:val="bullet"/>
      <w:lvlText w:val="•"/>
      <w:lvlJc w:val="left"/>
      <w:pPr>
        <w:ind w:left="2835" w:hanging="312"/>
      </w:pPr>
      <w:rPr>
        <w:rFonts w:ascii="Noto Sans" w:hAnsi="Noto Sans" w:hint="default"/>
      </w:rPr>
    </w:lvl>
    <w:lvl w:ilvl="5">
      <w:start w:val="1"/>
      <w:numFmt w:val="bullet"/>
      <w:lvlText w:val="◦"/>
      <w:lvlJc w:val="left"/>
      <w:pPr>
        <w:ind w:left="3402" w:hanging="312"/>
      </w:pPr>
      <w:rPr>
        <w:rFonts w:ascii="Noto Sans" w:hAnsi="Noto Sans" w:hint="default"/>
      </w:rPr>
    </w:lvl>
    <w:lvl w:ilvl="6">
      <w:start w:val="1"/>
      <w:numFmt w:val="bullet"/>
      <w:lvlText w:val="▪"/>
      <w:lvlJc w:val="left"/>
      <w:pPr>
        <w:ind w:left="3969" w:hanging="312"/>
      </w:pPr>
      <w:rPr>
        <w:rFonts w:ascii="Noto Sans" w:hAnsi="Noto Sans" w:hint="default"/>
      </w:rPr>
    </w:lvl>
    <w:lvl w:ilvl="7">
      <w:start w:val="1"/>
      <w:numFmt w:val="bullet"/>
      <w:lvlText w:val="▫"/>
      <w:lvlJc w:val="left"/>
      <w:pPr>
        <w:ind w:left="4536" w:hanging="312"/>
      </w:pPr>
      <w:rPr>
        <w:rFonts w:ascii="Noto Sans" w:hAnsi="Noto Sans" w:hint="default"/>
      </w:rPr>
    </w:lvl>
    <w:lvl w:ilvl="8">
      <w:start w:val="1"/>
      <w:numFmt w:val="bullet"/>
      <w:lvlText w:val="•"/>
      <w:lvlJc w:val="left"/>
      <w:pPr>
        <w:ind w:left="5103" w:hanging="312"/>
      </w:pPr>
      <w:rPr>
        <w:rFonts w:ascii="Noto Sans" w:hAnsi="Noto Sans" w:hint="default"/>
      </w:rPr>
    </w:lvl>
  </w:abstractNum>
  <w:abstractNum w:abstractNumId="31" w15:restartNumberingAfterBreak="0">
    <w:nsid w:val="4A653A05"/>
    <w:multiLevelType w:val="multilevel"/>
    <w:tmpl w:val="465217D4"/>
    <w:lvl w:ilvl="0">
      <w:start w:val="1"/>
      <w:numFmt w:val="decimal"/>
      <w:lvlText w:val="%1."/>
      <w:lvlJc w:val="left"/>
      <w:pPr>
        <w:ind w:left="567" w:hanging="340"/>
      </w:pPr>
      <w:rPr>
        <w:rFonts w:hint="default"/>
      </w:rPr>
    </w:lvl>
    <w:lvl w:ilvl="1">
      <w:start w:val="1"/>
      <w:numFmt w:val="lowerLetter"/>
      <w:lvlText w:val="%2."/>
      <w:lvlJc w:val="left"/>
      <w:pPr>
        <w:ind w:left="1134" w:hanging="340"/>
      </w:pPr>
      <w:rPr>
        <w:rFonts w:hint="default"/>
      </w:rPr>
    </w:lvl>
    <w:lvl w:ilvl="2">
      <w:start w:val="1"/>
      <w:numFmt w:val="lowerRoman"/>
      <w:lvlText w:val="%3."/>
      <w:lvlJc w:val="left"/>
      <w:pPr>
        <w:ind w:left="1701" w:hanging="340"/>
      </w:pPr>
      <w:rPr>
        <w:rFonts w:hint="default"/>
      </w:rPr>
    </w:lvl>
    <w:lvl w:ilvl="3">
      <w:start w:val="1"/>
      <w:numFmt w:val="decimal"/>
      <w:lvlText w:val="%4."/>
      <w:lvlJc w:val="left"/>
      <w:pPr>
        <w:ind w:left="2268" w:hanging="340"/>
      </w:pPr>
      <w:rPr>
        <w:rFonts w:hint="default"/>
      </w:rPr>
    </w:lvl>
    <w:lvl w:ilvl="4">
      <w:start w:val="1"/>
      <w:numFmt w:val="lowerLetter"/>
      <w:lvlText w:val="%5."/>
      <w:lvlJc w:val="left"/>
      <w:pPr>
        <w:ind w:left="2835" w:hanging="340"/>
      </w:pPr>
      <w:rPr>
        <w:rFonts w:hint="default"/>
      </w:rPr>
    </w:lvl>
    <w:lvl w:ilvl="5">
      <w:start w:val="1"/>
      <w:numFmt w:val="lowerRoman"/>
      <w:lvlText w:val="%6."/>
      <w:lvlJc w:val="left"/>
      <w:pPr>
        <w:ind w:left="3402" w:hanging="340"/>
      </w:pPr>
      <w:rPr>
        <w:rFonts w:hint="default"/>
      </w:rPr>
    </w:lvl>
    <w:lvl w:ilvl="6">
      <w:start w:val="1"/>
      <w:numFmt w:val="decimal"/>
      <w:lvlText w:val="%7."/>
      <w:lvlJc w:val="left"/>
      <w:pPr>
        <w:ind w:left="3969" w:hanging="340"/>
      </w:pPr>
      <w:rPr>
        <w:rFonts w:hint="default"/>
      </w:rPr>
    </w:lvl>
    <w:lvl w:ilvl="7">
      <w:start w:val="1"/>
      <w:numFmt w:val="lowerLetter"/>
      <w:lvlText w:val="%8."/>
      <w:lvlJc w:val="left"/>
      <w:pPr>
        <w:ind w:left="4536" w:hanging="340"/>
      </w:pPr>
      <w:rPr>
        <w:rFonts w:hint="default"/>
      </w:rPr>
    </w:lvl>
    <w:lvl w:ilvl="8">
      <w:start w:val="1"/>
      <w:numFmt w:val="lowerRoman"/>
      <w:lvlText w:val="%9."/>
      <w:lvlJc w:val="left"/>
      <w:pPr>
        <w:ind w:left="5103" w:hanging="340"/>
      </w:pPr>
      <w:rPr>
        <w:rFonts w:hint="default"/>
      </w:rPr>
    </w:lvl>
  </w:abstractNum>
  <w:abstractNum w:abstractNumId="32" w15:restartNumberingAfterBreak="0">
    <w:nsid w:val="502F6218"/>
    <w:multiLevelType w:val="multilevel"/>
    <w:tmpl w:val="CF14D2EC"/>
    <w:numStyleLink w:val="UnorderedList"/>
  </w:abstractNum>
  <w:abstractNum w:abstractNumId="33" w15:restartNumberingAfterBreak="0">
    <w:nsid w:val="613A3F18"/>
    <w:multiLevelType w:val="multilevel"/>
    <w:tmpl w:val="C2BAE3D2"/>
    <w:lvl w:ilvl="0">
      <w:start w:val="1"/>
      <w:numFmt w:val="bullet"/>
      <w:lvlText w:val=""/>
      <w:lvlJc w:val="left"/>
      <w:pPr>
        <w:ind w:left="567" w:hanging="340"/>
      </w:pPr>
      <w:rPr>
        <w:rFonts w:ascii="Symbol" w:hAnsi="Symbol" w:hint="default"/>
      </w:rPr>
    </w:lvl>
    <w:lvl w:ilvl="1">
      <w:start w:val="1"/>
      <w:numFmt w:val="bullet"/>
      <w:lvlText w:val="o"/>
      <w:lvlJc w:val="left"/>
      <w:pPr>
        <w:ind w:left="1134" w:hanging="340"/>
      </w:pPr>
      <w:rPr>
        <w:rFonts w:ascii="Courier New" w:hAnsi="Courier New" w:cs="Courier New" w:hint="default"/>
      </w:rPr>
    </w:lvl>
    <w:lvl w:ilvl="2">
      <w:start w:val="1"/>
      <w:numFmt w:val="bullet"/>
      <w:lvlText w:val=""/>
      <w:lvlJc w:val="left"/>
      <w:pPr>
        <w:ind w:left="1701" w:hanging="340"/>
      </w:pPr>
      <w:rPr>
        <w:rFonts w:ascii="Wingdings" w:hAnsi="Wingdings" w:hint="default"/>
      </w:rPr>
    </w:lvl>
    <w:lvl w:ilvl="3">
      <w:start w:val="1"/>
      <w:numFmt w:val="bullet"/>
      <w:lvlText w:val=""/>
      <w:lvlJc w:val="left"/>
      <w:pPr>
        <w:ind w:left="2268" w:hanging="340"/>
      </w:pPr>
      <w:rPr>
        <w:rFonts w:ascii="Symbol" w:hAnsi="Symbol" w:hint="default"/>
      </w:rPr>
    </w:lvl>
    <w:lvl w:ilvl="4">
      <w:start w:val="1"/>
      <w:numFmt w:val="bullet"/>
      <w:lvlText w:val="o"/>
      <w:lvlJc w:val="left"/>
      <w:pPr>
        <w:ind w:left="2835" w:hanging="340"/>
      </w:pPr>
      <w:rPr>
        <w:rFonts w:ascii="Courier New" w:hAnsi="Courier New" w:cs="Courier New" w:hint="default"/>
      </w:rPr>
    </w:lvl>
    <w:lvl w:ilvl="5">
      <w:start w:val="1"/>
      <w:numFmt w:val="bullet"/>
      <w:lvlText w:val=""/>
      <w:lvlJc w:val="left"/>
      <w:pPr>
        <w:ind w:left="3402" w:hanging="340"/>
      </w:pPr>
      <w:rPr>
        <w:rFonts w:ascii="Wingdings" w:hAnsi="Wingdings" w:hint="default"/>
      </w:rPr>
    </w:lvl>
    <w:lvl w:ilvl="6">
      <w:start w:val="1"/>
      <w:numFmt w:val="bullet"/>
      <w:lvlText w:val=""/>
      <w:lvlJc w:val="left"/>
      <w:pPr>
        <w:ind w:left="3969" w:hanging="340"/>
      </w:pPr>
      <w:rPr>
        <w:rFonts w:ascii="Symbol" w:hAnsi="Symbol" w:hint="default"/>
      </w:rPr>
    </w:lvl>
    <w:lvl w:ilvl="7">
      <w:start w:val="1"/>
      <w:numFmt w:val="bullet"/>
      <w:lvlText w:val="o"/>
      <w:lvlJc w:val="left"/>
      <w:pPr>
        <w:ind w:left="4536" w:hanging="340"/>
      </w:pPr>
      <w:rPr>
        <w:rFonts w:ascii="Courier New" w:hAnsi="Courier New" w:cs="Courier New" w:hint="default"/>
      </w:rPr>
    </w:lvl>
    <w:lvl w:ilvl="8">
      <w:start w:val="1"/>
      <w:numFmt w:val="bullet"/>
      <w:lvlText w:val=""/>
      <w:lvlJc w:val="left"/>
      <w:pPr>
        <w:ind w:left="5103" w:hanging="340"/>
      </w:pPr>
      <w:rPr>
        <w:rFonts w:ascii="Wingdings" w:hAnsi="Wingdings" w:hint="default"/>
      </w:rPr>
    </w:lvl>
  </w:abstractNum>
  <w:abstractNum w:abstractNumId="34" w15:restartNumberingAfterBreak="0">
    <w:nsid w:val="65EF5EF1"/>
    <w:multiLevelType w:val="multilevel"/>
    <w:tmpl w:val="8E9201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64D757A"/>
    <w:multiLevelType w:val="hybridMultilevel"/>
    <w:tmpl w:val="94A87580"/>
    <w:lvl w:ilvl="0" w:tplc="7EF87032">
      <w:start w:val="1"/>
      <w:numFmt w:val="bullet"/>
      <w:lvlText w:val=""/>
      <w:lvlJc w:val="left"/>
      <w:pPr>
        <w:ind w:left="5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6" w15:restartNumberingAfterBreak="0">
    <w:nsid w:val="75337862"/>
    <w:multiLevelType w:val="multilevel"/>
    <w:tmpl w:val="86829178"/>
    <w:numStyleLink w:val="OrderedList"/>
  </w:abstractNum>
  <w:abstractNum w:abstractNumId="37" w15:restartNumberingAfterBreak="0">
    <w:nsid w:val="77B953C3"/>
    <w:multiLevelType w:val="hybridMultilevel"/>
    <w:tmpl w:val="3EF837A2"/>
    <w:lvl w:ilvl="0" w:tplc="5F2CA2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FD746F"/>
    <w:multiLevelType w:val="multilevel"/>
    <w:tmpl w:val="DF1E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60012672">
    <w:abstractNumId w:val="9"/>
  </w:num>
  <w:num w:numId="2" w16cid:durableId="1807430742">
    <w:abstractNumId w:val="7"/>
  </w:num>
  <w:num w:numId="3" w16cid:durableId="952129819">
    <w:abstractNumId w:val="6"/>
  </w:num>
  <w:num w:numId="4" w16cid:durableId="1567062258">
    <w:abstractNumId w:val="5"/>
  </w:num>
  <w:num w:numId="5" w16cid:durableId="628165751">
    <w:abstractNumId w:val="4"/>
  </w:num>
  <w:num w:numId="6" w16cid:durableId="127205612">
    <w:abstractNumId w:val="8"/>
  </w:num>
  <w:num w:numId="7" w16cid:durableId="1720396538">
    <w:abstractNumId w:val="3"/>
  </w:num>
  <w:num w:numId="8" w16cid:durableId="111675516">
    <w:abstractNumId w:val="2"/>
  </w:num>
  <w:num w:numId="9" w16cid:durableId="680350625">
    <w:abstractNumId w:val="1"/>
  </w:num>
  <w:num w:numId="10" w16cid:durableId="1612395721">
    <w:abstractNumId w:val="0"/>
  </w:num>
  <w:num w:numId="11" w16cid:durableId="1432167919">
    <w:abstractNumId w:val="35"/>
  </w:num>
  <w:num w:numId="12" w16cid:durableId="1331719821">
    <w:abstractNumId w:val="33"/>
  </w:num>
  <w:num w:numId="13" w16cid:durableId="861482384">
    <w:abstractNumId w:val="13"/>
  </w:num>
  <w:num w:numId="14" w16cid:durableId="582106439">
    <w:abstractNumId w:val="17"/>
  </w:num>
  <w:num w:numId="15" w16cid:durableId="1865901707">
    <w:abstractNumId w:val="37"/>
  </w:num>
  <w:num w:numId="16" w16cid:durableId="556206249">
    <w:abstractNumId w:val="14"/>
  </w:num>
  <w:num w:numId="17" w16cid:durableId="1095858497">
    <w:abstractNumId w:val="19"/>
  </w:num>
  <w:num w:numId="18" w16cid:durableId="1365207615">
    <w:abstractNumId w:val="31"/>
  </w:num>
  <w:num w:numId="19" w16cid:durableId="5523522">
    <w:abstractNumId w:val="18"/>
  </w:num>
  <w:num w:numId="20" w16cid:durableId="74936745">
    <w:abstractNumId w:val="25"/>
  </w:num>
  <w:num w:numId="21" w16cid:durableId="2135323401">
    <w:abstractNumId w:val="16"/>
  </w:num>
  <w:num w:numId="22" w16cid:durableId="853154570">
    <w:abstractNumId w:val="29"/>
  </w:num>
  <w:num w:numId="23" w16cid:durableId="1255749161">
    <w:abstractNumId w:val="11"/>
  </w:num>
  <w:num w:numId="24" w16cid:durableId="1991522804">
    <w:abstractNumId w:val="30"/>
  </w:num>
  <w:num w:numId="25" w16cid:durableId="336814518">
    <w:abstractNumId w:val="28"/>
  </w:num>
  <w:num w:numId="26" w16cid:durableId="1258832564">
    <w:abstractNumId w:val="36"/>
  </w:num>
  <w:num w:numId="27" w16cid:durableId="1795757561">
    <w:abstractNumId w:val="27"/>
  </w:num>
  <w:num w:numId="28" w16cid:durableId="1083455516">
    <w:abstractNumId w:val="32"/>
  </w:num>
  <w:num w:numId="29" w16cid:durableId="1833836052">
    <w:abstractNumId w:val="24"/>
  </w:num>
  <w:num w:numId="30" w16cid:durableId="1973362261">
    <w:abstractNumId w:val="26"/>
  </w:num>
  <w:num w:numId="31" w16cid:durableId="1164590978">
    <w:abstractNumId w:val="26"/>
  </w:num>
  <w:num w:numId="32" w16cid:durableId="1232275561">
    <w:abstractNumId w:val="26"/>
  </w:num>
  <w:num w:numId="33" w16cid:durableId="1476289710">
    <w:abstractNumId w:val="10"/>
  </w:num>
  <w:num w:numId="34" w16cid:durableId="1086881597">
    <w:abstractNumId w:val="12"/>
  </w:num>
  <w:num w:numId="35" w16cid:durableId="83765988">
    <w:abstractNumId w:val="15"/>
  </w:num>
  <w:num w:numId="36" w16cid:durableId="930092454">
    <w:abstractNumId w:val="20"/>
  </w:num>
  <w:num w:numId="37" w16cid:durableId="2082091494">
    <w:abstractNumId w:val="38"/>
  </w:num>
  <w:num w:numId="38" w16cid:durableId="188106140">
    <w:abstractNumId w:val="23"/>
  </w:num>
  <w:num w:numId="39" w16cid:durableId="424307685">
    <w:abstractNumId w:val="34"/>
  </w:num>
  <w:num w:numId="40" w16cid:durableId="755515199">
    <w:abstractNumId w:val="21"/>
  </w:num>
  <w:num w:numId="41" w16cid:durableId="13725384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8DD"/>
    <w:rsid w:val="00032F07"/>
    <w:rsid w:val="00041907"/>
    <w:rsid w:val="0008335C"/>
    <w:rsid w:val="000A6849"/>
    <w:rsid w:val="000D01A1"/>
    <w:rsid w:val="000E1194"/>
    <w:rsid w:val="000F4014"/>
    <w:rsid w:val="00112F39"/>
    <w:rsid w:val="00155435"/>
    <w:rsid w:val="001574DB"/>
    <w:rsid w:val="00175D6D"/>
    <w:rsid w:val="001D78E5"/>
    <w:rsid w:val="002043B9"/>
    <w:rsid w:val="00210F83"/>
    <w:rsid w:val="00227A8E"/>
    <w:rsid w:val="00227F89"/>
    <w:rsid w:val="002328DD"/>
    <w:rsid w:val="002340F0"/>
    <w:rsid w:val="0024649C"/>
    <w:rsid w:val="00263602"/>
    <w:rsid w:val="002A000E"/>
    <w:rsid w:val="002C0E68"/>
    <w:rsid w:val="0031306E"/>
    <w:rsid w:val="00341FA0"/>
    <w:rsid w:val="00367645"/>
    <w:rsid w:val="0046097D"/>
    <w:rsid w:val="00467A5E"/>
    <w:rsid w:val="004C76FA"/>
    <w:rsid w:val="004D2156"/>
    <w:rsid w:val="00504374"/>
    <w:rsid w:val="00511E46"/>
    <w:rsid w:val="005424C3"/>
    <w:rsid w:val="00563B49"/>
    <w:rsid w:val="00581DE3"/>
    <w:rsid w:val="005B7B99"/>
    <w:rsid w:val="005F6BCF"/>
    <w:rsid w:val="00606825"/>
    <w:rsid w:val="00607B40"/>
    <w:rsid w:val="0064600C"/>
    <w:rsid w:val="006C5766"/>
    <w:rsid w:val="006C7FF8"/>
    <w:rsid w:val="006D577B"/>
    <w:rsid w:val="0071751D"/>
    <w:rsid w:val="0074030F"/>
    <w:rsid w:val="00794301"/>
    <w:rsid w:val="007A7570"/>
    <w:rsid w:val="007E32E7"/>
    <w:rsid w:val="00813205"/>
    <w:rsid w:val="00844A15"/>
    <w:rsid w:val="00895A5E"/>
    <w:rsid w:val="008A16A1"/>
    <w:rsid w:val="008A5E35"/>
    <w:rsid w:val="008B4135"/>
    <w:rsid w:val="008C0686"/>
    <w:rsid w:val="008C79BC"/>
    <w:rsid w:val="008D52FF"/>
    <w:rsid w:val="008F0AAE"/>
    <w:rsid w:val="00903873"/>
    <w:rsid w:val="00916121"/>
    <w:rsid w:val="009357FA"/>
    <w:rsid w:val="00965D70"/>
    <w:rsid w:val="009B0057"/>
    <w:rsid w:val="009D3C57"/>
    <w:rsid w:val="009E6E9C"/>
    <w:rsid w:val="00A60CD4"/>
    <w:rsid w:val="00A84359"/>
    <w:rsid w:val="00AC1B9B"/>
    <w:rsid w:val="00AF0463"/>
    <w:rsid w:val="00AF402E"/>
    <w:rsid w:val="00B155B7"/>
    <w:rsid w:val="00B71D8D"/>
    <w:rsid w:val="00B80A0A"/>
    <w:rsid w:val="00BB1312"/>
    <w:rsid w:val="00BC2368"/>
    <w:rsid w:val="00BF1720"/>
    <w:rsid w:val="00C035FB"/>
    <w:rsid w:val="00C16902"/>
    <w:rsid w:val="00C2535D"/>
    <w:rsid w:val="00C743FD"/>
    <w:rsid w:val="00C96A49"/>
    <w:rsid w:val="00CC7BFE"/>
    <w:rsid w:val="00CE4209"/>
    <w:rsid w:val="00D1353C"/>
    <w:rsid w:val="00D154C7"/>
    <w:rsid w:val="00D2459A"/>
    <w:rsid w:val="00D679DB"/>
    <w:rsid w:val="00D7094D"/>
    <w:rsid w:val="00D76561"/>
    <w:rsid w:val="00D85486"/>
    <w:rsid w:val="00DD49DD"/>
    <w:rsid w:val="00DF3A2E"/>
    <w:rsid w:val="00E364C2"/>
    <w:rsid w:val="00EC4BAE"/>
    <w:rsid w:val="00EF13D5"/>
    <w:rsid w:val="00F04F4E"/>
    <w:rsid w:val="00F967BF"/>
    <w:rsid w:val="00FA2530"/>
    <w:rsid w:val="00FC52BA"/>
    <w:rsid w:val="00FD0845"/>
    <w:rsid w:val="00FD3A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84C13F"/>
  <w15:chartTrackingRefBased/>
  <w15:docId w15:val="{8EA3140A-4BB9-984C-B107-97A04D905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156"/>
    <w:pPr>
      <w:spacing w:line="312" w:lineRule="auto"/>
    </w:pPr>
    <w:rPr>
      <w:kern w:val="20"/>
      <w:sz w:val="20"/>
      <w14:ligatures w14:val="standardContextual"/>
      <w14:numForm w14:val="lining"/>
      <w14:numSpacing w14:val="tabular"/>
      <w14:cntxtAlts/>
    </w:rPr>
  </w:style>
  <w:style w:type="paragraph" w:styleId="Heading1">
    <w:name w:val="heading 1"/>
    <w:basedOn w:val="Normal"/>
    <w:next w:val="Normal"/>
    <w:link w:val="Heading1Char"/>
    <w:uiPriority w:val="9"/>
    <w:qFormat/>
    <w:rsid w:val="008D52FF"/>
    <w:pPr>
      <w:keepNext/>
      <w:keepLines/>
      <w:suppressAutoHyphens/>
      <w:spacing w:before="320" w:line="240" w:lineRule="auto"/>
      <w:outlineLvl w:val="0"/>
    </w:pPr>
    <w:rPr>
      <w:rFonts w:asciiTheme="majorHAnsi" w:hAnsiTheme="majorHAnsi"/>
      <w:b/>
      <w:color w:val="AD003D" w:themeColor="accent1"/>
      <w:sz w:val="48"/>
    </w:rPr>
  </w:style>
  <w:style w:type="paragraph" w:styleId="Heading2">
    <w:name w:val="heading 2"/>
    <w:basedOn w:val="Heading1"/>
    <w:next w:val="Normal"/>
    <w:link w:val="Heading2Char"/>
    <w:uiPriority w:val="9"/>
    <w:qFormat/>
    <w:rsid w:val="000A6849"/>
    <w:pPr>
      <w:outlineLvl w:val="1"/>
    </w:pPr>
    <w:rPr>
      <w:sz w:val="32"/>
    </w:rPr>
  </w:style>
  <w:style w:type="paragraph" w:styleId="Heading3">
    <w:name w:val="heading 3"/>
    <w:basedOn w:val="Heading2"/>
    <w:next w:val="Normal"/>
    <w:link w:val="Heading3Char"/>
    <w:uiPriority w:val="9"/>
    <w:qFormat/>
    <w:rsid w:val="00263602"/>
    <w:pPr>
      <w:outlineLvl w:val="2"/>
    </w:pPr>
    <w:rPr>
      <w:b w:val="0"/>
      <w:color w:val="000000" w:themeColor="text1"/>
      <w:sz w:val="24"/>
    </w:rPr>
  </w:style>
  <w:style w:type="paragraph" w:styleId="Heading4">
    <w:name w:val="heading 4"/>
    <w:basedOn w:val="Heading3"/>
    <w:next w:val="Normal"/>
    <w:link w:val="Heading4Char"/>
    <w:uiPriority w:val="9"/>
    <w:unhideWhenUsed/>
    <w:qFormat/>
    <w:rsid w:val="00D154C7"/>
    <w:pPr>
      <w:outlineLvl w:val="3"/>
    </w:pPr>
    <w:rPr>
      <w:color w:val="auto"/>
      <w:sz w:val="22"/>
    </w:rPr>
  </w:style>
  <w:style w:type="paragraph" w:styleId="Heading5">
    <w:name w:val="heading 5"/>
    <w:basedOn w:val="Heading4"/>
    <w:next w:val="Normal"/>
    <w:link w:val="Heading5Char"/>
    <w:uiPriority w:val="9"/>
    <w:unhideWhenUsed/>
    <w:qFormat/>
    <w:rsid w:val="00844A15"/>
    <w:pPr>
      <w:outlineLvl w:val="4"/>
    </w:pPr>
    <w:rPr>
      <w:rFonts w:asciiTheme="minorHAnsi" w:hAnsiTheme="minorHAnsi"/>
      <w:smallCaps/>
    </w:rPr>
  </w:style>
  <w:style w:type="paragraph" w:styleId="Heading6">
    <w:name w:val="heading 6"/>
    <w:basedOn w:val="Heading5"/>
    <w:next w:val="Normal"/>
    <w:link w:val="Heading6Char"/>
    <w:uiPriority w:val="9"/>
    <w:semiHidden/>
    <w:rsid w:val="000A6849"/>
    <w:pPr>
      <w:outlineLvl w:val="5"/>
    </w:pPr>
  </w:style>
  <w:style w:type="paragraph" w:styleId="Heading7">
    <w:name w:val="heading 7"/>
    <w:basedOn w:val="Heading6"/>
    <w:next w:val="Normal"/>
    <w:link w:val="Heading7Char"/>
    <w:uiPriority w:val="9"/>
    <w:semiHidden/>
    <w:rsid w:val="00F04F4E"/>
    <w:pPr>
      <w:outlineLvl w:val="6"/>
    </w:pPr>
  </w:style>
  <w:style w:type="paragraph" w:styleId="Heading8">
    <w:name w:val="heading 8"/>
    <w:basedOn w:val="Heading7"/>
    <w:next w:val="Normal"/>
    <w:link w:val="Heading8Char"/>
    <w:uiPriority w:val="9"/>
    <w:semiHidden/>
    <w:rsid w:val="00F04F4E"/>
    <w:pPr>
      <w:outlineLvl w:val="7"/>
    </w:pPr>
  </w:style>
  <w:style w:type="paragraph" w:styleId="Heading9">
    <w:name w:val="heading 9"/>
    <w:basedOn w:val="Heading8"/>
    <w:next w:val="Normal"/>
    <w:link w:val="Heading9Char"/>
    <w:uiPriority w:val="9"/>
    <w:semiHidden/>
    <w:rsid w:val="00F04F4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BodyText"/>
    <w:next w:val="Normal"/>
    <w:link w:val="TitleChar"/>
    <w:uiPriority w:val="10"/>
    <w:rsid w:val="00263602"/>
    <w:pPr>
      <w:pageBreakBefore/>
      <w:spacing w:before="0" w:after="600"/>
    </w:pPr>
    <w:rPr>
      <w:b w:val="0"/>
      <w:color w:val="000000" w:themeColor="text1"/>
      <w:sz w:val="72"/>
    </w:rPr>
  </w:style>
  <w:style w:type="character" w:customStyle="1" w:styleId="TitleChar">
    <w:name w:val="Title Char"/>
    <w:basedOn w:val="DefaultParagraphFont"/>
    <w:link w:val="Title"/>
    <w:uiPriority w:val="10"/>
    <w:rsid w:val="00263602"/>
    <w:rPr>
      <w:rFonts w:asciiTheme="majorHAnsi" w:hAnsiTheme="majorHAnsi"/>
      <w:color w:val="000000" w:themeColor="text1"/>
      <w:kern w:val="20"/>
      <w:sz w:val="72"/>
      <w14:ligatures w14:val="standardContextual"/>
      <w14:numForm w14:val="lining"/>
      <w14:numSpacing w14:val="tabular"/>
      <w14:cntxtAlts/>
    </w:rPr>
  </w:style>
  <w:style w:type="character" w:customStyle="1" w:styleId="Heading1Char">
    <w:name w:val="Heading 1 Char"/>
    <w:basedOn w:val="DefaultParagraphFont"/>
    <w:link w:val="Heading1"/>
    <w:uiPriority w:val="9"/>
    <w:rsid w:val="008D52FF"/>
    <w:rPr>
      <w:rFonts w:asciiTheme="majorHAnsi" w:hAnsiTheme="majorHAnsi"/>
      <w:b/>
      <w:color w:val="AD003D" w:themeColor="accent1"/>
      <w:kern w:val="20"/>
      <w:sz w:val="48"/>
      <w14:ligatures w14:val="standardContextual"/>
      <w14:numForm w14:val="lining"/>
      <w14:numSpacing w14:val="tabular"/>
      <w14:cntxtAlts/>
    </w:rPr>
  </w:style>
  <w:style w:type="character" w:customStyle="1" w:styleId="Heading2Char">
    <w:name w:val="Heading 2 Char"/>
    <w:basedOn w:val="DefaultParagraphFont"/>
    <w:link w:val="Heading2"/>
    <w:uiPriority w:val="9"/>
    <w:rsid w:val="001D78E5"/>
    <w:rPr>
      <w:rFonts w:asciiTheme="majorHAnsi" w:hAnsiTheme="majorHAnsi"/>
      <w:color w:val="AD003D" w:themeColor="accent1"/>
      <w:sz w:val="32"/>
    </w:rPr>
  </w:style>
  <w:style w:type="character" w:customStyle="1" w:styleId="Heading3Char">
    <w:name w:val="Heading 3 Char"/>
    <w:basedOn w:val="DefaultParagraphFont"/>
    <w:link w:val="Heading3"/>
    <w:uiPriority w:val="9"/>
    <w:rsid w:val="00263602"/>
    <w:rPr>
      <w:rFonts w:asciiTheme="majorHAnsi" w:hAnsiTheme="majorHAnsi"/>
      <w:color w:val="000000" w:themeColor="text1"/>
      <w:kern w:val="20"/>
      <w:sz w:val="24"/>
      <w14:ligatures w14:val="standardContextual"/>
      <w14:numForm w14:val="lining"/>
      <w14:numSpacing w14:val="tabular"/>
      <w14:cntxtAlts/>
    </w:rPr>
  </w:style>
  <w:style w:type="character" w:customStyle="1" w:styleId="Heading4Char">
    <w:name w:val="Heading 4 Char"/>
    <w:basedOn w:val="DefaultParagraphFont"/>
    <w:link w:val="Heading4"/>
    <w:uiPriority w:val="9"/>
    <w:rsid w:val="00D154C7"/>
    <w:rPr>
      <w:rFonts w:asciiTheme="majorHAnsi" w:hAnsiTheme="majorHAnsi"/>
      <w:kern w:val="20"/>
      <w14:ligatures w14:val="standardContextual"/>
      <w14:numForm w14:val="lining"/>
      <w14:numSpacing w14:val="tabular"/>
      <w14:cntxtAlts/>
    </w:rPr>
  </w:style>
  <w:style w:type="paragraph" w:styleId="Subtitle">
    <w:name w:val="Subtitle"/>
    <w:basedOn w:val="Heading2"/>
    <w:next w:val="Normal"/>
    <w:link w:val="SubtitleChar"/>
    <w:uiPriority w:val="11"/>
    <w:rsid w:val="00263602"/>
    <w:pPr>
      <w:spacing w:after="600"/>
      <w:outlineLvl w:val="9"/>
    </w:pPr>
    <w:rPr>
      <w:b w:val="0"/>
      <w:color w:val="000000" w:themeColor="text1"/>
      <w:sz w:val="24"/>
    </w:rPr>
  </w:style>
  <w:style w:type="character" w:customStyle="1" w:styleId="SubtitleChar">
    <w:name w:val="Subtitle Char"/>
    <w:basedOn w:val="DefaultParagraphFont"/>
    <w:link w:val="Subtitle"/>
    <w:uiPriority w:val="11"/>
    <w:rsid w:val="00263602"/>
    <w:rPr>
      <w:rFonts w:asciiTheme="majorHAnsi" w:hAnsiTheme="majorHAnsi"/>
      <w:color w:val="000000" w:themeColor="text1"/>
      <w:kern w:val="20"/>
      <w:sz w:val="24"/>
      <w14:ligatures w14:val="standardContextual"/>
      <w14:numForm w14:val="lining"/>
      <w14:numSpacing w14:val="tabular"/>
      <w14:cntxtAlts/>
    </w:rPr>
  </w:style>
  <w:style w:type="paragraph" w:styleId="ListParagraph">
    <w:name w:val="List Paragraph"/>
    <w:basedOn w:val="BodyTextIndent"/>
    <w:uiPriority w:val="34"/>
    <w:semiHidden/>
    <w:rsid w:val="00227F89"/>
    <w:pPr>
      <w:contextualSpacing/>
    </w:pPr>
  </w:style>
  <w:style w:type="paragraph" w:styleId="NoSpacing">
    <w:name w:val="No Spacing"/>
    <w:basedOn w:val="Normal"/>
    <w:uiPriority w:val="1"/>
    <w:rsid w:val="00CC7BFE"/>
    <w:pPr>
      <w:spacing w:after="0"/>
      <w:contextualSpacing/>
    </w:pPr>
  </w:style>
  <w:style w:type="paragraph" w:styleId="Quote">
    <w:name w:val="Quote"/>
    <w:basedOn w:val="Normal"/>
    <w:next w:val="Normal"/>
    <w:link w:val="QuoteChar"/>
    <w:uiPriority w:val="29"/>
    <w:rsid w:val="000A6849"/>
    <w:pPr>
      <w:spacing w:before="160"/>
      <w:ind w:left="567" w:right="567"/>
    </w:pPr>
  </w:style>
  <w:style w:type="character" w:customStyle="1" w:styleId="QuoteChar">
    <w:name w:val="Quote Char"/>
    <w:basedOn w:val="DefaultParagraphFont"/>
    <w:link w:val="Quote"/>
    <w:uiPriority w:val="29"/>
    <w:rsid w:val="001D78E5"/>
    <w:rPr>
      <w:sz w:val="20"/>
    </w:rPr>
  </w:style>
  <w:style w:type="paragraph" w:styleId="IntenseQuote">
    <w:name w:val="Intense Quote"/>
    <w:basedOn w:val="Normal"/>
    <w:next w:val="Normal"/>
    <w:link w:val="IntenseQuoteChar"/>
    <w:uiPriority w:val="30"/>
    <w:rsid w:val="004D2156"/>
    <w:rPr>
      <w:sz w:val="28"/>
      <w:szCs w:val="30"/>
    </w:rPr>
  </w:style>
  <w:style w:type="character" w:customStyle="1" w:styleId="IntenseQuoteChar">
    <w:name w:val="Intense Quote Char"/>
    <w:basedOn w:val="DefaultParagraphFont"/>
    <w:link w:val="IntenseQuote"/>
    <w:uiPriority w:val="30"/>
    <w:rsid w:val="004D2156"/>
    <w:rPr>
      <w:kern w:val="20"/>
      <w:sz w:val="28"/>
      <w:szCs w:val="30"/>
      <w14:ligatures w14:val="standardContextual"/>
      <w14:numForm w14:val="lining"/>
      <w14:numSpacing w14:val="tabular"/>
      <w14:cntxtAlts/>
    </w:rPr>
  </w:style>
  <w:style w:type="character" w:customStyle="1" w:styleId="Heading5Char">
    <w:name w:val="Heading 5 Char"/>
    <w:basedOn w:val="DefaultParagraphFont"/>
    <w:link w:val="Heading5"/>
    <w:uiPriority w:val="9"/>
    <w:rsid w:val="001D78E5"/>
    <w:rPr>
      <w:smallCaps/>
      <w:sz w:val="20"/>
    </w:rPr>
  </w:style>
  <w:style w:type="character" w:customStyle="1" w:styleId="Heading6Char">
    <w:name w:val="Heading 6 Char"/>
    <w:basedOn w:val="DefaultParagraphFont"/>
    <w:link w:val="Heading6"/>
    <w:uiPriority w:val="9"/>
    <w:semiHidden/>
    <w:rsid w:val="00EF13D5"/>
    <w:rPr>
      <w:smallCaps/>
      <w:kern w:val="20"/>
      <w14:ligatures w14:val="standardContextual"/>
      <w14:numForm w14:val="lining"/>
      <w14:numSpacing w14:val="tabular"/>
      <w14:cntxtAlts/>
    </w:rPr>
  </w:style>
  <w:style w:type="character" w:customStyle="1" w:styleId="Heading7Char">
    <w:name w:val="Heading 7 Char"/>
    <w:basedOn w:val="DefaultParagraphFont"/>
    <w:link w:val="Heading7"/>
    <w:uiPriority w:val="9"/>
    <w:semiHidden/>
    <w:rsid w:val="00EF13D5"/>
    <w:rPr>
      <w:smallCaps/>
      <w:kern w:val="20"/>
      <w14:ligatures w14:val="standardContextual"/>
      <w14:numForm w14:val="lining"/>
      <w14:numSpacing w14:val="tabular"/>
      <w14:cntxtAlts/>
    </w:rPr>
  </w:style>
  <w:style w:type="character" w:styleId="IntenseEmphasis">
    <w:name w:val="Intense Emphasis"/>
    <w:uiPriority w:val="21"/>
    <w:rsid w:val="00EF13D5"/>
    <w:rPr>
      <w:b/>
      <w:bCs/>
      <w:color w:val="AD003D" w:themeColor="accent1"/>
    </w:rPr>
  </w:style>
  <w:style w:type="character" w:styleId="SubtleEmphasis">
    <w:name w:val="Subtle Emphasis"/>
    <w:uiPriority w:val="19"/>
    <w:rsid w:val="00EF13D5"/>
    <w:rPr>
      <w:color w:val="8F7C5D" w:themeColor="background2" w:themeShade="80"/>
    </w:rPr>
  </w:style>
  <w:style w:type="character" w:customStyle="1" w:styleId="Heading8Char">
    <w:name w:val="Heading 8 Char"/>
    <w:basedOn w:val="DefaultParagraphFont"/>
    <w:link w:val="Heading8"/>
    <w:uiPriority w:val="9"/>
    <w:semiHidden/>
    <w:rsid w:val="00EF13D5"/>
    <w:rPr>
      <w:smallCaps/>
      <w:kern w:val="20"/>
      <w14:ligatures w14:val="standardContextual"/>
      <w14:numForm w14:val="lining"/>
      <w14:numSpacing w14:val="tabular"/>
      <w14:cntxtAlts/>
    </w:rPr>
  </w:style>
  <w:style w:type="character" w:customStyle="1" w:styleId="Heading9Char">
    <w:name w:val="Heading 9 Char"/>
    <w:basedOn w:val="DefaultParagraphFont"/>
    <w:link w:val="Heading9"/>
    <w:uiPriority w:val="9"/>
    <w:semiHidden/>
    <w:rsid w:val="00EF13D5"/>
    <w:rPr>
      <w:smallCaps/>
      <w:kern w:val="20"/>
      <w14:ligatures w14:val="standardContextual"/>
      <w14:numForm w14:val="lining"/>
      <w14:numSpacing w14:val="tabular"/>
      <w14:cntxtAlts/>
    </w:rPr>
  </w:style>
  <w:style w:type="table" w:styleId="TableGrid">
    <w:name w:val="Table Grid"/>
    <w:basedOn w:val="TableNormal"/>
    <w:uiPriority w:val="39"/>
    <w:rsid w:val="00D7094D"/>
    <w:pPr>
      <w:spacing w:after="0" w:line="240" w:lineRule="auto"/>
    </w:pPr>
    <w:tblPr>
      <w:tblStyleRowBandSize w:val="1"/>
      <w:tblStyleColBandSize w:val="1"/>
      <w:tblBorders>
        <w:top w:val="single" w:sz="4" w:space="0" w:color="F0EDE8" w:themeColor="background2"/>
        <w:left w:val="single" w:sz="4" w:space="0" w:color="F0EDE8" w:themeColor="background2"/>
        <w:bottom w:val="single" w:sz="4" w:space="0" w:color="F0EDE8" w:themeColor="background2"/>
        <w:right w:val="single" w:sz="4" w:space="0" w:color="F0EDE8" w:themeColor="background2"/>
        <w:insideH w:val="single" w:sz="4" w:space="0" w:color="F0EDE8" w:themeColor="background2"/>
        <w:insideV w:val="single" w:sz="4" w:space="0" w:color="F0EDE8" w:themeColor="background2"/>
      </w:tblBorders>
      <w:tblCellMar>
        <w:top w:w="57" w:type="dxa"/>
        <w:left w:w="85" w:type="dxa"/>
        <w:bottom w:w="28" w:type="dxa"/>
        <w:right w:w="85" w:type="dxa"/>
      </w:tblCellMar>
    </w:tblPr>
    <w:tblStylePr w:type="firstRow">
      <w:pPr>
        <w:keepNext/>
        <w:wordWrap/>
      </w:pPr>
      <w:rPr>
        <w:rFonts w:asciiTheme="minorHAnsi" w:hAnsiTheme="minorHAnsi"/>
        <w:b/>
      </w:rPr>
      <w:tblPr/>
      <w:tcPr>
        <w:shd w:val="clear" w:color="auto" w:fill="F0EDE8" w:themeFill="background2"/>
      </w:tcPr>
    </w:tblStylePr>
    <w:tblStylePr w:type="lastRow">
      <w:rPr>
        <w:rFonts w:asciiTheme="minorHAnsi" w:hAnsiTheme="minorHAnsi"/>
        <w:b/>
      </w:rPr>
      <w:tblPr/>
      <w:tcPr>
        <w:tcBorders>
          <w:top w:val="single" w:sz="4" w:space="0" w:color="870034" w:themeColor="text2"/>
        </w:tcBorders>
      </w:tcPr>
    </w:tblStylePr>
    <w:tblStylePr w:type="firstCol">
      <w:rPr>
        <w:rFonts w:asciiTheme="minorHAnsi" w:hAnsiTheme="minorHAnsi"/>
        <w:b/>
      </w:rPr>
      <w:tblPr/>
      <w:tcPr>
        <w:shd w:val="clear" w:color="auto" w:fill="F0EDE8" w:themeFill="background2"/>
      </w:tcPr>
    </w:tblStylePr>
    <w:tblStylePr w:type="lastCol">
      <w:rPr>
        <w:rFonts w:asciiTheme="minorHAnsi" w:hAnsiTheme="minorHAnsi"/>
        <w:b/>
      </w:rPr>
      <w:tblPr/>
      <w:tcPr>
        <w:tcBorders>
          <w:left w:val="single" w:sz="4" w:space="0" w:color="870034" w:themeColor="text2"/>
        </w:tcBorders>
      </w:tcPr>
    </w:tblStylePr>
    <w:tblStylePr w:type="band1Vert">
      <w:tblPr/>
      <w:tcPr>
        <w:tcBorders>
          <w:left w:val="single" w:sz="4" w:space="0" w:color="870034" w:themeColor="text2"/>
          <w:right w:val="single" w:sz="4" w:space="0" w:color="870034" w:themeColor="text2"/>
        </w:tcBorders>
      </w:tcPr>
    </w:tblStylePr>
    <w:tblStylePr w:type="band2Vert">
      <w:tblPr/>
      <w:tcPr>
        <w:tcBorders>
          <w:left w:val="single" w:sz="4" w:space="0" w:color="870034" w:themeColor="text2"/>
          <w:right w:val="single" w:sz="4" w:space="0" w:color="870034" w:themeColor="text2"/>
        </w:tcBorders>
      </w:tcPr>
    </w:tblStylePr>
    <w:tblStylePr w:type="band1Horz">
      <w:tblPr/>
      <w:tcPr>
        <w:tcBorders>
          <w:top w:val="single" w:sz="4" w:space="0" w:color="870034" w:themeColor="text2"/>
          <w:bottom w:val="single" w:sz="4" w:space="0" w:color="870034" w:themeColor="text2"/>
        </w:tcBorders>
      </w:tcPr>
    </w:tblStylePr>
    <w:tblStylePr w:type="band2Horz">
      <w:tblPr/>
      <w:tcPr>
        <w:tcBorders>
          <w:top w:val="single" w:sz="4" w:space="0" w:color="870034" w:themeColor="text2"/>
          <w:bottom w:val="single" w:sz="4" w:space="0" w:color="870034" w:themeColor="text2"/>
        </w:tcBorders>
      </w:tcPr>
    </w:tblStylePr>
  </w:style>
  <w:style w:type="table" w:styleId="ColourfulListAccent6">
    <w:name w:val="Colorful List Accent 6"/>
    <w:basedOn w:val="TableNormal"/>
    <w:uiPriority w:val="72"/>
    <w:rsid w:val="00F04F4E"/>
    <w:pPr>
      <w:spacing w:after="0" w:line="240" w:lineRule="auto"/>
    </w:pPr>
    <w:rPr>
      <w:color w:val="000000" w:themeColor="text1"/>
    </w:rPr>
    <w:tblPr>
      <w:tblStyleRowBandSize w:val="1"/>
      <w:tblStyleColBandSize w:val="1"/>
    </w:tblPr>
    <w:tcPr>
      <w:shd w:val="clear" w:color="auto" w:fill="FDF4EA" w:themeFill="accent6" w:themeFillTint="19"/>
    </w:tcPr>
    <w:tblStylePr w:type="firstRow">
      <w:rPr>
        <w:b/>
        <w:bCs/>
        <w:color w:val="FFFFFF" w:themeColor="background1"/>
      </w:rPr>
      <w:tblPr/>
      <w:tcPr>
        <w:tcBorders>
          <w:bottom w:val="single" w:sz="12" w:space="0" w:color="FFFFFF" w:themeColor="background1"/>
        </w:tcBorders>
        <w:shd w:val="clear" w:color="auto" w:fill="0C6C41" w:themeFill="accent5" w:themeFillShade="CC"/>
      </w:tcPr>
    </w:tblStylePr>
    <w:tblStylePr w:type="lastRow">
      <w:rPr>
        <w:b/>
        <w:bCs/>
        <w:color w:val="0C6C4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3CA" w:themeFill="accent6" w:themeFillTint="3F"/>
      </w:tcPr>
    </w:tblStylePr>
    <w:tblStylePr w:type="band1Horz">
      <w:tblPr/>
      <w:tcPr>
        <w:shd w:val="clear" w:color="auto" w:fill="FBE8D5" w:themeFill="accent6" w:themeFillTint="33"/>
      </w:tcPr>
    </w:tblStylePr>
  </w:style>
  <w:style w:type="table" w:styleId="TableTheme">
    <w:name w:val="Table Theme"/>
    <w:basedOn w:val="TableNormal"/>
    <w:uiPriority w:val="99"/>
    <w:rsid w:val="00F04F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04F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F04F4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F04F4E"/>
    <w:pPr>
      <w:spacing w:after="0" w:line="240" w:lineRule="auto"/>
    </w:pPr>
    <w:tblPr>
      <w:tblStyleRowBandSize w:val="1"/>
      <w:tblStyleColBandSize w:val="1"/>
      <w:tblBorders>
        <w:top w:val="single" w:sz="4" w:space="0" w:color="FF78A7" w:themeColor="accent1" w:themeTint="66"/>
        <w:left w:val="single" w:sz="4" w:space="0" w:color="FF78A7" w:themeColor="accent1" w:themeTint="66"/>
        <w:bottom w:val="single" w:sz="4" w:space="0" w:color="FF78A7" w:themeColor="accent1" w:themeTint="66"/>
        <w:right w:val="single" w:sz="4" w:space="0" w:color="FF78A7" w:themeColor="accent1" w:themeTint="66"/>
        <w:insideH w:val="single" w:sz="4" w:space="0" w:color="FF78A7" w:themeColor="accent1" w:themeTint="66"/>
        <w:insideV w:val="single" w:sz="4" w:space="0" w:color="FF78A7" w:themeColor="accent1" w:themeTint="66"/>
      </w:tblBorders>
    </w:tblPr>
    <w:tblStylePr w:type="firstRow">
      <w:rPr>
        <w:b/>
        <w:bCs/>
      </w:rPr>
      <w:tblPr/>
      <w:tcPr>
        <w:tcBorders>
          <w:bottom w:val="single" w:sz="12" w:space="0" w:color="FF347B" w:themeColor="accent1" w:themeTint="99"/>
        </w:tcBorders>
      </w:tcPr>
    </w:tblStylePr>
    <w:tblStylePr w:type="lastRow">
      <w:rPr>
        <w:b/>
        <w:bCs/>
      </w:rPr>
      <w:tblPr/>
      <w:tcPr>
        <w:tcBorders>
          <w:top w:val="double" w:sz="2" w:space="0" w:color="FF347B" w:themeColor="accent1"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F04F4E"/>
    <w:pPr>
      <w:spacing w:after="0" w:line="240" w:lineRule="auto"/>
    </w:pPr>
    <w:tblPr>
      <w:tblStyleRowBandSize w:val="1"/>
      <w:tblStyleColBandSize w:val="1"/>
      <w:tblBorders>
        <w:top w:val="single" w:sz="4" w:space="0" w:color="FF347B" w:themeColor="accent1" w:themeTint="99"/>
        <w:left w:val="single" w:sz="4" w:space="0" w:color="FF347B" w:themeColor="accent1" w:themeTint="99"/>
        <w:bottom w:val="single" w:sz="4" w:space="0" w:color="FF347B" w:themeColor="accent1" w:themeTint="99"/>
        <w:right w:val="single" w:sz="4" w:space="0" w:color="FF347B" w:themeColor="accent1" w:themeTint="99"/>
        <w:insideH w:val="single" w:sz="4" w:space="0" w:color="FF347B" w:themeColor="accent1" w:themeTint="99"/>
        <w:insideV w:val="single" w:sz="4" w:space="0" w:color="FF347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BD2" w:themeFill="accent1" w:themeFillTint="33"/>
      </w:tcPr>
    </w:tblStylePr>
    <w:tblStylePr w:type="band1Horz">
      <w:tblPr/>
      <w:tcPr>
        <w:shd w:val="clear" w:color="auto" w:fill="FFBBD2" w:themeFill="accent1" w:themeFillTint="33"/>
      </w:tcPr>
    </w:tblStylePr>
    <w:tblStylePr w:type="neCell">
      <w:tblPr/>
      <w:tcPr>
        <w:tcBorders>
          <w:bottom w:val="single" w:sz="4" w:space="0" w:color="FF347B" w:themeColor="accent1" w:themeTint="99"/>
        </w:tcBorders>
      </w:tcPr>
    </w:tblStylePr>
    <w:tblStylePr w:type="nwCell">
      <w:tblPr/>
      <w:tcPr>
        <w:tcBorders>
          <w:bottom w:val="single" w:sz="4" w:space="0" w:color="FF347B" w:themeColor="accent1" w:themeTint="99"/>
        </w:tcBorders>
      </w:tcPr>
    </w:tblStylePr>
    <w:tblStylePr w:type="seCell">
      <w:tblPr/>
      <w:tcPr>
        <w:tcBorders>
          <w:top w:val="single" w:sz="4" w:space="0" w:color="FF347B" w:themeColor="accent1" w:themeTint="99"/>
        </w:tcBorders>
      </w:tcPr>
    </w:tblStylePr>
    <w:tblStylePr w:type="swCell">
      <w:tblPr/>
      <w:tcPr>
        <w:tcBorders>
          <w:top w:val="single" w:sz="4" w:space="0" w:color="FF347B" w:themeColor="accent1" w:themeTint="99"/>
        </w:tcBorders>
      </w:tcPr>
    </w:tblStylePr>
  </w:style>
  <w:style w:type="table" w:styleId="GridTable4">
    <w:name w:val="Grid Table 4"/>
    <w:basedOn w:val="TableNormal"/>
    <w:uiPriority w:val="49"/>
    <w:rsid w:val="00F04F4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urfulAccent5">
    <w:name w:val="Grid Table 7 Colorful Accent 5"/>
    <w:basedOn w:val="TableNormal"/>
    <w:uiPriority w:val="52"/>
    <w:rsid w:val="00F04F4E"/>
    <w:pPr>
      <w:spacing w:after="0" w:line="240" w:lineRule="auto"/>
    </w:pPr>
    <w:rPr>
      <w:color w:val="0B653D" w:themeColor="accent5" w:themeShade="BF"/>
    </w:rPr>
    <w:tblPr>
      <w:tblStyleRowBandSize w:val="1"/>
      <w:tblStyleColBandSize w:val="1"/>
      <w:tblBorders>
        <w:top w:val="single" w:sz="4" w:space="0" w:color="3CE99C" w:themeColor="accent5" w:themeTint="99"/>
        <w:left w:val="single" w:sz="4" w:space="0" w:color="3CE99C" w:themeColor="accent5" w:themeTint="99"/>
        <w:bottom w:val="single" w:sz="4" w:space="0" w:color="3CE99C" w:themeColor="accent5" w:themeTint="99"/>
        <w:right w:val="single" w:sz="4" w:space="0" w:color="3CE99C" w:themeColor="accent5" w:themeTint="99"/>
        <w:insideH w:val="single" w:sz="4" w:space="0" w:color="3CE99C" w:themeColor="accent5" w:themeTint="99"/>
        <w:insideV w:val="single" w:sz="4" w:space="0" w:color="3CE9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8DE" w:themeFill="accent5" w:themeFillTint="33"/>
      </w:tcPr>
    </w:tblStylePr>
    <w:tblStylePr w:type="band1Horz">
      <w:tblPr/>
      <w:tcPr>
        <w:shd w:val="clear" w:color="auto" w:fill="BEF8DE" w:themeFill="accent5" w:themeFillTint="33"/>
      </w:tcPr>
    </w:tblStylePr>
    <w:tblStylePr w:type="neCell">
      <w:tblPr/>
      <w:tcPr>
        <w:tcBorders>
          <w:bottom w:val="single" w:sz="4" w:space="0" w:color="3CE99C" w:themeColor="accent5" w:themeTint="99"/>
        </w:tcBorders>
      </w:tcPr>
    </w:tblStylePr>
    <w:tblStylePr w:type="nwCell">
      <w:tblPr/>
      <w:tcPr>
        <w:tcBorders>
          <w:bottom w:val="single" w:sz="4" w:space="0" w:color="3CE99C" w:themeColor="accent5" w:themeTint="99"/>
        </w:tcBorders>
      </w:tcPr>
    </w:tblStylePr>
    <w:tblStylePr w:type="seCell">
      <w:tblPr/>
      <w:tcPr>
        <w:tcBorders>
          <w:top w:val="single" w:sz="4" w:space="0" w:color="3CE99C" w:themeColor="accent5" w:themeTint="99"/>
        </w:tcBorders>
      </w:tcPr>
    </w:tblStylePr>
    <w:tblStylePr w:type="swCell">
      <w:tblPr/>
      <w:tcPr>
        <w:tcBorders>
          <w:top w:val="single" w:sz="4" w:space="0" w:color="3CE99C" w:themeColor="accent5" w:themeTint="99"/>
        </w:tcBorders>
      </w:tcPr>
    </w:tblStylePr>
  </w:style>
  <w:style w:type="table" w:styleId="ListTable1Light-Accent4">
    <w:name w:val="List Table 1 Light Accent 4"/>
    <w:basedOn w:val="TableNormal"/>
    <w:uiPriority w:val="46"/>
    <w:rsid w:val="00F04F4E"/>
    <w:pPr>
      <w:spacing w:after="0" w:line="240" w:lineRule="auto"/>
    </w:pPr>
    <w:tblPr>
      <w:tblStyleRowBandSize w:val="1"/>
      <w:tblStyleColBandSize w:val="1"/>
    </w:tblPr>
    <w:tblStylePr w:type="firstRow">
      <w:rPr>
        <w:b/>
        <w:bCs/>
      </w:rPr>
      <w:tblPr/>
      <w:tcPr>
        <w:tcBorders>
          <w:bottom w:val="single" w:sz="4" w:space="0" w:color="2FFFDF" w:themeColor="accent4" w:themeTint="99"/>
        </w:tcBorders>
      </w:tcPr>
    </w:tblStylePr>
    <w:tblStylePr w:type="lastRow">
      <w:rPr>
        <w:b/>
        <w:bCs/>
      </w:rPr>
      <w:tblPr/>
      <w:tcPr>
        <w:tcBorders>
          <w:top w:val="single" w:sz="4" w:space="0" w:color="2FFFDF" w:themeColor="accent4" w:themeTint="99"/>
        </w:tcBorders>
      </w:tcPr>
    </w:tblStylePr>
    <w:tblStylePr w:type="firstCol">
      <w:rPr>
        <w:b/>
        <w:bCs/>
      </w:rPr>
    </w:tblStylePr>
    <w:tblStylePr w:type="lastCol">
      <w:rPr>
        <w:b/>
        <w:bCs/>
      </w:rPr>
    </w:tblStylePr>
    <w:tblStylePr w:type="band1Vert">
      <w:tblPr/>
      <w:tcPr>
        <w:shd w:val="clear" w:color="auto" w:fill="B9FFF4" w:themeFill="accent4" w:themeFillTint="33"/>
      </w:tcPr>
    </w:tblStylePr>
    <w:tblStylePr w:type="band1Horz">
      <w:tblPr/>
      <w:tcPr>
        <w:shd w:val="clear" w:color="auto" w:fill="B9FFF4" w:themeFill="accent4" w:themeFillTint="33"/>
      </w:tcPr>
    </w:tblStylePr>
  </w:style>
  <w:style w:type="table" w:styleId="ListTable5Dark-Accent3">
    <w:name w:val="List Table 5 Dark Accent 3"/>
    <w:basedOn w:val="TableNormal"/>
    <w:uiPriority w:val="50"/>
    <w:rsid w:val="00F04F4E"/>
    <w:pPr>
      <w:spacing w:after="0" w:line="240" w:lineRule="auto"/>
    </w:pPr>
    <w:rPr>
      <w:color w:val="FFFFFF" w:themeColor="background1"/>
    </w:rPr>
    <w:tblPr>
      <w:tblStyleRowBandSize w:val="1"/>
      <w:tblStyleColBandSize w:val="1"/>
      <w:tblBorders>
        <w:top w:val="single" w:sz="24" w:space="0" w:color="00639C" w:themeColor="accent3"/>
        <w:left w:val="single" w:sz="24" w:space="0" w:color="00639C" w:themeColor="accent3"/>
        <w:bottom w:val="single" w:sz="24" w:space="0" w:color="00639C" w:themeColor="accent3"/>
        <w:right w:val="single" w:sz="24" w:space="0" w:color="00639C" w:themeColor="accent3"/>
      </w:tblBorders>
    </w:tblPr>
    <w:tcPr>
      <w:shd w:val="clear" w:color="auto" w:fill="00639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PlainTable2">
    <w:name w:val="Plain Table 2"/>
    <w:basedOn w:val="TableNormal"/>
    <w:uiPriority w:val="42"/>
    <w:rsid w:val="00F04F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Web2">
    <w:name w:val="Table Web 2"/>
    <w:basedOn w:val="TableNormal"/>
    <w:uiPriority w:val="99"/>
    <w:rsid w:val="00C96A49"/>
    <w:pPr>
      <w:spacing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dTable7ColourfulAccent2">
    <w:name w:val="Grid Table 7 Colorful Accent 2"/>
    <w:basedOn w:val="TableNormal"/>
    <w:uiPriority w:val="52"/>
    <w:rsid w:val="00F04F4E"/>
    <w:pPr>
      <w:spacing w:after="0" w:line="240" w:lineRule="auto"/>
    </w:pPr>
    <w:rPr>
      <w:color w:val="462761" w:themeColor="accent2" w:themeShade="BF"/>
    </w:rPr>
    <w:tblPr>
      <w:tblStyleRowBandSize w:val="1"/>
      <w:tblStyleColBandSize w:val="1"/>
      <w:tblBorders>
        <w:top w:val="single" w:sz="4" w:space="0" w:color="9F72C6" w:themeColor="accent2" w:themeTint="99"/>
        <w:left w:val="single" w:sz="4" w:space="0" w:color="9F72C6" w:themeColor="accent2" w:themeTint="99"/>
        <w:bottom w:val="single" w:sz="4" w:space="0" w:color="9F72C6" w:themeColor="accent2" w:themeTint="99"/>
        <w:right w:val="single" w:sz="4" w:space="0" w:color="9F72C6" w:themeColor="accent2" w:themeTint="99"/>
        <w:insideH w:val="single" w:sz="4" w:space="0" w:color="9F72C6" w:themeColor="accent2" w:themeTint="99"/>
        <w:insideV w:val="single" w:sz="4" w:space="0" w:color="9F72C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0EC" w:themeFill="accent2" w:themeFillTint="33"/>
      </w:tcPr>
    </w:tblStylePr>
    <w:tblStylePr w:type="band1Horz">
      <w:tblPr/>
      <w:tcPr>
        <w:shd w:val="clear" w:color="auto" w:fill="DFD0EC" w:themeFill="accent2" w:themeFillTint="33"/>
      </w:tcPr>
    </w:tblStylePr>
    <w:tblStylePr w:type="neCell">
      <w:tblPr/>
      <w:tcPr>
        <w:tcBorders>
          <w:bottom w:val="single" w:sz="4" w:space="0" w:color="9F72C6" w:themeColor="accent2" w:themeTint="99"/>
        </w:tcBorders>
      </w:tcPr>
    </w:tblStylePr>
    <w:tblStylePr w:type="nwCell">
      <w:tblPr/>
      <w:tcPr>
        <w:tcBorders>
          <w:bottom w:val="single" w:sz="4" w:space="0" w:color="9F72C6" w:themeColor="accent2" w:themeTint="99"/>
        </w:tcBorders>
      </w:tcPr>
    </w:tblStylePr>
    <w:tblStylePr w:type="seCell">
      <w:tblPr/>
      <w:tcPr>
        <w:tcBorders>
          <w:top w:val="single" w:sz="4" w:space="0" w:color="9F72C6" w:themeColor="accent2" w:themeTint="99"/>
        </w:tcBorders>
      </w:tcPr>
    </w:tblStylePr>
    <w:tblStylePr w:type="swCell">
      <w:tblPr/>
      <w:tcPr>
        <w:tcBorders>
          <w:top w:val="single" w:sz="4" w:space="0" w:color="9F72C6" w:themeColor="accent2" w:themeTint="99"/>
        </w:tcBorders>
      </w:tcPr>
    </w:tblStylePr>
  </w:style>
  <w:style w:type="table" w:styleId="GridTable1Light">
    <w:name w:val="Grid Table 1 Light"/>
    <w:basedOn w:val="TableNormal"/>
    <w:uiPriority w:val="46"/>
    <w:rsid w:val="00F04F4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BodyText3"/>
    <w:link w:val="FootnoteTextChar"/>
    <w:uiPriority w:val="99"/>
    <w:semiHidden/>
    <w:rsid w:val="001D78E5"/>
    <w:pPr>
      <w:spacing w:after="0"/>
      <w:ind w:left="284" w:hanging="284"/>
    </w:pPr>
  </w:style>
  <w:style w:type="character" w:customStyle="1" w:styleId="FootnoteTextChar">
    <w:name w:val="Footnote Text Char"/>
    <w:basedOn w:val="DefaultParagraphFont"/>
    <w:link w:val="FootnoteText"/>
    <w:uiPriority w:val="99"/>
    <w:semiHidden/>
    <w:rsid w:val="001D78E5"/>
    <w:rPr>
      <w:sz w:val="16"/>
    </w:rPr>
  </w:style>
  <w:style w:type="character" w:styleId="FootnoteReference">
    <w:name w:val="footnote reference"/>
    <w:basedOn w:val="FootnoteTextChar"/>
    <w:uiPriority w:val="99"/>
    <w:semiHidden/>
    <w:rsid w:val="001D78E5"/>
    <w:rPr>
      <w:color w:val="AD003D" w:themeColor="accent1"/>
      <w:sz w:val="20"/>
      <w:vertAlign w:val="superscript"/>
    </w:rPr>
  </w:style>
  <w:style w:type="paragraph" w:styleId="TOCHeading">
    <w:name w:val="TOC Heading"/>
    <w:basedOn w:val="Heading1BodyText"/>
    <w:next w:val="Normal"/>
    <w:uiPriority w:val="39"/>
    <w:semiHidden/>
    <w:qFormat/>
    <w:rsid w:val="005424C3"/>
  </w:style>
  <w:style w:type="paragraph" w:styleId="TOC1">
    <w:name w:val="toc 1"/>
    <w:basedOn w:val="NoSpacing"/>
    <w:next w:val="Normal"/>
    <w:uiPriority w:val="39"/>
    <w:semiHidden/>
    <w:rsid w:val="00DD49DD"/>
    <w:pPr>
      <w:tabs>
        <w:tab w:val="right" w:leader="dot" w:pos="9639"/>
      </w:tabs>
      <w:ind w:left="567" w:hanging="567"/>
    </w:pPr>
    <w:rPr>
      <w:noProof/>
    </w:rPr>
  </w:style>
  <w:style w:type="paragraph" w:styleId="TOC2">
    <w:name w:val="toc 2"/>
    <w:basedOn w:val="TOC1"/>
    <w:next w:val="Normal"/>
    <w:uiPriority w:val="39"/>
    <w:semiHidden/>
    <w:rsid w:val="00DD49DD"/>
    <w:pPr>
      <w:ind w:left="851"/>
    </w:pPr>
  </w:style>
  <w:style w:type="paragraph" w:styleId="TOC3">
    <w:name w:val="toc 3"/>
    <w:basedOn w:val="TOC1"/>
    <w:next w:val="Normal"/>
    <w:uiPriority w:val="39"/>
    <w:semiHidden/>
    <w:rsid w:val="00DD49DD"/>
    <w:pPr>
      <w:ind w:left="1134"/>
    </w:pPr>
  </w:style>
  <w:style w:type="character" w:styleId="Hyperlink">
    <w:name w:val="Hyperlink"/>
    <w:basedOn w:val="DefaultParagraphFont"/>
    <w:uiPriority w:val="99"/>
    <w:semiHidden/>
    <w:rsid w:val="00263602"/>
    <w:rPr>
      <w:color w:val="00639C" w:themeColor="accent3"/>
      <w:u w:val="dotted" w:color="3D8B7A"/>
    </w:rPr>
  </w:style>
  <w:style w:type="paragraph" w:styleId="Caption">
    <w:name w:val="caption"/>
    <w:basedOn w:val="BodyText3"/>
    <w:next w:val="Normal"/>
    <w:uiPriority w:val="35"/>
    <w:semiHidden/>
    <w:qFormat/>
    <w:rsid w:val="00CE4209"/>
    <w:pPr>
      <w:spacing w:before="160"/>
    </w:pPr>
  </w:style>
  <w:style w:type="paragraph" w:styleId="TOAHeading">
    <w:name w:val="toa heading"/>
    <w:basedOn w:val="Heading1BodyText"/>
    <w:next w:val="Normal"/>
    <w:uiPriority w:val="99"/>
    <w:semiHidden/>
    <w:rsid w:val="005424C3"/>
  </w:style>
  <w:style w:type="paragraph" w:styleId="TableofAuthorities">
    <w:name w:val="table of authorities"/>
    <w:basedOn w:val="TOC1"/>
    <w:next w:val="Normal"/>
    <w:uiPriority w:val="99"/>
    <w:semiHidden/>
    <w:rsid w:val="0074030F"/>
  </w:style>
  <w:style w:type="paragraph" w:styleId="TableofFigures">
    <w:name w:val="table of figures"/>
    <w:basedOn w:val="TOC1"/>
    <w:next w:val="Normal"/>
    <w:uiPriority w:val="99"/>
    <w:semiHidden/>
    <w:rsid w:val="0074030F"/>
  </w:style>
  <w:style w:type="paragraph" w:styleId="Bibliography">
    <w:name w:val="Bibliography"/>
    <w:basedOn w:val="TOC1"/>
    <w:next w:val="Normal"/>
    <w:uiPriority w:val="37"/>
    <w:semiHidden/>
    <w:rsid w:val="0074030F"/>
  </w:style>
  <w:style w:type="paragraph" w:styleId="TOC4">
    <w:name w:val="toc 4"/>
    <w:basedOn w:val="TOC1"/>
    <w:next w:val="Normal"/>
    <w:uiPriority w:val="39"/>
    <w:semiHidden/>
    <w:rsid w:val="00DD49DD"/>
    <w:pPr>
      <w:ind w:left="1418"/>
    </w:pPr>
  </w:style>
  <w:style w:type="paragraph" w:styleId="TOC5">
    <w:name w:val="toc 5"/>
    <w:basedOn w:val="TOC1"/>
    <w:next w:val="Normal"/>
    <w:uiPriority w:val="39"/>
    <w:semiHidden/>
    <w:rsid w:val="00DD49DD"/>
    <w:pPr>
      <w:ind w:left="1701"/>
    </w:pPr>
  </w:style>
  <w:style w:type="paragraph" w:styleId="TOC6">
    <w:name w:val="toc 6"/>
    <w:basedOn w:val="TOC1"/>
    <w:next w:val="Normal"/>
    <w:uiPriority w:val="39"/>
    <w:semiHidden/>
    <w:rsid w:val="00DD49DD"/>
    <w:pPr>
      <w:ind w:left="1985"/>
    </w:pPr>
  </w:style>
  <w:style w:type="paragraph" w:styleId="TOC7">
    <w:name w:val="toc 7"/>
    <w:basedOn w:val="TOC1"/>
    <w:next w:val="Normal"/>
    <w:uiPriority w:val="39"/>
    <w:semiHidden/>
    <w:rsid w:val="00DD49DD"/>
    <w:pPr>
      <w:ind w:left="2268"/>
    </w:pPr>
  </w:style>
  <w:style w:type="paragraph" w:styleId="TOC8">
    <w:name w:val="toc 8"/>
    <w:basedOn w:val="TOC1"/>
    <w:next w:val="Normal"/>
    <w:uiPriority w:val="39"/>
    <w:semiHidden/>
    <w:rsid w:val="00DD49DD"/>
    <w:pPr>
      <w:ind w:left="2552"/>
    </w:pPr>
  </w:style>
  <w:style w:type="paragraph" w:styleId="TOC9">
    <w:name w:val="toc 9"/>
    <w:basedOn w:val="TOC1"/>
    <w:next w:val="Normal"/>
    <w:uiPriority w:val="39"/>
    <w:semiHidden/>
    <w:rsid w:val="00DD49DD"/>
    <w:pPr>
      <w:ind w:left="2835"/>
    </w:pPr>
  </w:style>
  <w:style w:type="paragraph" w:styleId="Header">
    <w:name w:val="header"/>
    <w:basedOn w:val="BodyText3"/>
    <w:link w:val="HeaderChar"/>
    <w:uiPriority w:val="99"/>
    <w:semiHidden/>
    <w:rsid w:val="00CE4209"/>
    <w:pPr>
      <w:spacing w:after="0"/>
      <w:contextualSpacing/>
      <w:jc w:val="right"/>
    </w:pPr>
    <w:rPr>
      <w:color w:val="7F7F7F" w:themeColor="text1" w:themeTint="80"/>
    </w:rPr>
  </w:style>
  <w:style w:type="character" w:customStyle="1" w:styleId="HeaderChar">
    <w:name w:val="Header Char"/>
    <w:basedOn w:val="DefaultParagraphFont"/>
    <w:link w:val="Header"/>
    <w:uiPriority w:val="99"/>
    <w:semiHidden/>
    <w:rsid w:val="001D78E5"/>
    <w:rPr>
      <w:color w:val="7F7F7F" w:themeColor="text1" w:themeTint="80"/>
      <w:sz w:val="16"/>
    </w:rPr>
  </w:style>
  <w:style w:type="paragraph" w:styleId="Footer">
    <w:name w:val="footer"/>
    <w:basedOn w:val="Header"/>
    <w:link w:val="FooterChar"/>
    <w:uiPriority w:val="99"/>
    <w:semiHidden/>
    <w:rsid w:val="0074030F"/>
  </w:style>
  <w:style w:type="character" w:customStyle="1" w:styleId="FooterChar">
    <w:name w:val="Footer Char"/>
    <w:basedOn w:val="DefaultParagraphFont"/>
    <w:link w:val="Footer"/>
    <w:uiPriority w:val="99"/>
    <w:semiHidden/>
    <w:rsid w:val="001D78E5"/>
    <w:rPr>
      <w:color w:val="7F7F7F" w:themeColor="text1" w:themeTint="80"/>
      <w:sz w:val="16"/>
    </w:rPr>
  </w:style>
  <w:style w:type="paragraph" w:styleId="BodyText3">
    <w:name w:val="Body Text 3"/>
    <w:basedOn w:val="BodyText"/>
    <w:link w:val="BodyText3Char"/>
    <w:uiPriority w:val="99"/>
    <w:semiHidden/>
    <w:rsid w:val="006C7FF8"/>
    <w:rPr>
      <w:sz w:val="16"/>
    </w:rPr>
  </w:style>
  <w:style w:type="character" w:customStyle="1" w:styleId="BodyText3Char">
    <w:name w:val="Body Text 3 Char"/>
    <w:basedOn w:val="DefaultParagraphFont"/>
    <w:link w:val="BodyText3"/>
    <w:uiPriority w:val="99"/>
    <w:semiHidden/>
    <w:rsid w:val="001D78E5"/>
    <w:rPr>
      <w:sz w:val="16"/>
    </w:rPr>
  </w:style>
  <w:style w:type="paragraph" w:styleId="BodyText">
    <w:name w:val="Body Text"/>
    <w:basedOn w:val="Normal"/>
    <w:link w:val="BodyTextChar"/>
    <w:uiPriority w:val="99"/>
    <w:semiHidden/>
    <w:rsid w:val="0074030F"/>
  </w:style>
  <w:style w:type="character" w:customStyle="1" w:styleId="BodyTextChar">
    <w:name w:val="Body Text Char"/>
    <w:basedOn w:val="DefaultParagraphFont"/>
    <w:link w:val="BodyText"/>
    <w:uiPriority w:val="99"/>
    <w:semiHidden/>
    <w:rsid w:val="001D78E5"/>
    <w:rPr>
      <w:sz w:val="20"/>
    </w:rPr>
  </w:style>
  <w:style w:type="paragraph" w:styleId="BodyText2">
    <w:name w:val="Body Text 2"/>
    <w:basedOn w:val="BodyText"/>
    <w:link w:val="BodyText2Char"/>
    <w:uiPriority w:val="99"/>
    <w:semiHidden/>
    <w:rsid w:val="006C7FF8"/>
    <w:pPr>
      <w:spacing w:line="360" w:lineRule="auto"/>
    </w:pPr>
  </w:style>
  <w:style w:type="character" w:customStyle="1" w:styleId="BodyText2Char">
    <w:name w:val="Body Text 2 Char"/>
    <w:basedOn w:val="DefaultParagraphFont"/>
    <w:link w:val="BodyText2"/>
    <w:uiPriority w:val="99"/>
    <w:semiHidden/>
    <w:rsid w:val="001D78E5"/>
    <w:rPr>
      <w:sz w:val="20"/>
    </w:rPr>
  </w:style>
  <w:style w:type="paragraph" w:styleId="BodyTextFirstIndent">
    <w:name w:val="Body Text First Indent"/>
    <w:basedOn w:val="BodyText"/>
    <w:link w:val="BodyTextFirstIndentChar"/>
    <w:uiPriority w:val="99"/>
    <w:semiHidden/>
    <w:rsid w:val="008C0686"/>
    <w:pPr>
      <w:ind w:firstLine="567"/>
    </w:pPr>
  </w:style>
  <w:style w:type="character" w:customStyle="1" w:styleId="BodyTextFirstIndentChar">
    <w:name w:val="Body Text First Indent Char"/>
    <w:basedOn w:val="BodyTextChar"/>
    <w:link w:val="BodyTextFirstIndent"/>
    <w:uiPriority w:val="99"/>
    <w:semiHidden/>
    <w:rsid w:val="001D78E5"/>
    <w:rPr>
      <w:sz w:val="20"/>
    </w:rPr>
  </w:style>
  <w:style w:type="paragraph" w:styleId="BodyTextIndent">
    <w:name w:val="Body Text Indent"/>
    <w:basedOn w:val="BodyText"/>
    <w:link w:val="BodyTextIndentChar"/>
    <w:uiPriority w:val="99"/>
    <w:semiHidden/>
    <w:rsid w:val="00227F89"/>
    <w:pPr>
      <w:ind w:left="567"/>
    </w:pPr>
  </w:style>
  <w:style w:type="character" w:customStyle="1" w:styleId="BodyTextIndentChar">
    <w:name w:val="Body Text Indent Char"/>
    <w:basedOn w:val="DefaultParagraphFont"/>
    <w:link w:val="BodyTextIndent"/>
    <w:uiPriority w:val="99"/>
    <w:semiHidden/>
    <w:rsid w:val="001D78E5"/>
    <w:rPr>
      <w:sz w:val="20"/>
    </w:rPr>
  </w:style>
  <w:style w:type="paragraph" w:styleId="BodyTextFirstIndent2">
    <w:name w:val="Body Text First Indent 2"/>
    <w:basedOn w:val="BodyText3"/>
    <w:link w:val="BodyTextFirstIndent2Char"/>
    <w:uiPriority w:val="99"/>
    <w:semiHidden/>
    <w:rsid w:val="008C0686"/>
    <w:pPr>
      <w:ind w:firstLine="284"/>
    </w:pPr>
  </w:style>
  <w:style w:type="character" w:customStyle="1" w:styleId="BodyTextFirstIndent2Char">
    <w:name w:val="Body Text First Indent 2 Char"/>
    <w:basedOn w:val="BodyTextIndentChar"/>
    <w:link w:val="BodyTextFirstIndent2"/>
    <w:uiPriority w:val="99"/>
    <w:semiHidden/>
    <w:rsid w:val="001D78E5"/>
    <w:rPr>
      <w:sz w:val="16"/>
    </w:rPr>
  </w:style>
  <w:style w:type="paragraph" w:styleId="BodyTextIndent2">
    <w:name w:val="Body Text Indent 2"/>
    <w:basedOn w:val="BodyText2"/>
    <w:link w:val="BodyTextIndent2Char"/>
    <w:uiPriority w:val="99"/>
    <w:semiHidden/>
    <w:rsid w:val="006C7FF8"/>
    <w:pPr>
      <w:ind w:left="567"/>
    </w:pPr>
  </w:style>
  <w:style w:type="character" w:customStyle="1" w:styleId="BodyTextIndent2Char">
    <w:name w:val="Body Text Indent 2 Char"/>
    <w:basedOn w:val="DefaultParagraphFont"/>
    <w:link w:val="BodyTextIndent2"/>
    <w:uiPriority w:val="99"/>
    <w:semiHidden/>
    <w:rsid w:val="001D78E5"/>
    <w:rPr>
      <w:sz w:val="20"/>
    </w:rPr>
  </w:style>
  <w:style w:type="paragraph" w:styleId="BodyTextIndent3">
    <w:name w:val="Body Text Indent 3"/>
    <w:basedOn w:val="BodyText3"/>
    <w:link w:val="BodyTextIndent3Char"/>
    <w:uiPriority w:val="99"/>
    <w:semiHidden/>
    <w:rsid w:val="008C0686"/>
    <w:pPr>
      <w:ind w:left="284"/>
    </w:pPr>
  </w:style>
  <w:style w:type="character" w:customStyle="1" w:styleId="BodyTextIndent3Char">
    <w:name w:val="Body Text Indent 3 Char"/>
    <w:basedOn w:val="DefaultParagraphFont"/>
    <w:link w:val="BodyTextIndent3"/>
    <w:uiPriority w:val="99"/>
    <w:semiHidden/>
    <w:rsid w:val="001D78E5"/>
    <w:rPr>
      <w:sz w:val="16"/>
    </w:rPr>
  </w:style>
  <w:style w:type="character" w:styleId="CommentReference">
    <w:name w:val="annotation reference"/>
    <w:basedOn w:val="CommentSubjectChar"/>
    <w:uiPriority w:val="99"/>
    <w:semiHidden/>
    <w:rsid w:val="006C7FF8"/>
    <w:rPr>
      <w:b/>
      <w:noProof/>
      <w:sz w:val="16"/>
    </w:rPr>
  </w:style>
  <w:style w:type="paragraph" w:styleId="CommentText">
    <w:name w:val="annotation text"/>
    <w:basedOn w:val="BodyText3"/>
    <w:link w:val="CommentTextChar"/>
    <w:uiPriority w:val="99"/>
    <w:semiHidden/>
    <w:rsid w:val="00DD49DD"/>
    <w:rPr>
      <w:noProof/>
    </w:rPr>
  </w:style>
  <w:style w:type="character" w:customStyle="1" w:styleId="CommentTextChar">
    <w:name w:val="Comment Text Char"/>
    <w:basedOn w:val="DefaultParagraphFont"/>
    <w:link w:val="CommentText"/>
    <w:uiPriority w:val="99"/>
    <w:semiHidden/>
    <w:rsid w:val="001D78E5"/>
    <w:rPr>
      <w:noProof/>
      <w:sz w:val="16"/>
    </w:rPr>
  </w:style>
  <w:style w:type="paragraph" w:styleId="CommentSubject">
    <w:name w:val="annotation subject"/>
    <w:basedOn w:val="CommentText"/>
    <w:next w:val="CommentText"/>
    <w:link w:val="CommentSubjectChar"/>
    <w:uiPriority w:val="99"/>
    <w:semiHidden/>
    <w:rsid w:val="000E1194"/>
    <w:rPr>
      <w:b/>
    </w:rPr>
  </w:style>
  <w:style w:type="character" w:customStyle="1" w:styleId="CommentSubjectChar">
    <w:name w:val="Comment Subject Char"/>
    <w:basedOn w:val="CommentTextChar"/>
    <w:link w:val="CommentSubject"/>
    <w:uiPriority w:val="99"/>
    <w:semiHidden/>
    <w:rsid w:val="001D78E5"/>
    <w:rPr>
      <w:b/>
      <w:noProof/>
      <w:sz w:val="16"/>
    </w:rPr>
  </w:style>
  <w:style w:type="paragraph" w:styleId="BalloonText">
    <w:name w:val="Balloon Text"/>
    <w:basedOn w:val="CommentText"/>
    <w:link w:val="BalloonTextChar"/>
    <w:uiPriority w:val="99"/>
    <w:semiHidden/>
    <w:rsid w:val="000E1194"/>
  </w:style>
  <w:style w:type="character" w:customStyle="1" w:styleId="BalloonTextChar">
    <w:name w:val="Balloon Text Char"/>
    <w:basedOn w:val="DefaultParagraphFont"/>
    <w:link w:val="BalloonText"/>
    <w:uiPriority w:val="99"/>
    <w:semiHidden/>
    <w:rsid w:val="001D78E5"/>
    <w:rPr>
      <w:noProof/>
      <w:sz w:val="16"/>
    </w:rPr>
  </w:style>
  <w:style w:type="paragraph" w:styleId="DocumentMap">
    <w:name w:val="Document Map"/>
    <w:basedOn w:val="BodyText3"/>
    <w:link w:val="DocumentMapChar"/>
    <w:uiPriority w:val="99"/>
    <w:semiHidden/>
    <w:rsid w:val="000E1194"/>
  </w:style>
  <w:style w:type="character" w:customStyle="1" w:styleId="DocumentMapChar">
    <w:name w:val="Document Map Char"/>
    <w:basedOn w:val="DefaultParagraphFont"/>
    <w:link w:val="DocumentMap"/>
    <w:uiPriority w:val="99"/>
    <w:semiHidden/>
    <w:rsid w:val="001D78E5"/>
    <w:rPr>
      <w:sz w:val="16"/>
    </w:rPr>
  </w:style>
  <w:style w:type="paragraph" w:styleId="Closing">
    <w:name w:val="Closing"/>
    <w:basedOn w:val="Normal"/>
    <w:link w:val="ClosingChar"/>
    <w:uiPriority w:val="99"/>
    <w:semiHidden/>
    <w:rsid w:val="000E1194"/>
  </w:style>
  <w:style w:type="character" w:customStyle="1" w:styleId="ClosingChar">
    <w:name w:val="Closing Char"/>
    <w:basedOn w:val="DefaultParagraphFont"/>
    <w:link w:val="Closing"/>
    <w:uiPriority w:val="99"/>
    <w:semiHidden/>
    <w:rsid w:val="001D78E5"/>
    <w:rPr>
      <w:sz w:val="20"/>
    </w:rPr>
  </w:style>
  <w:style w:type="paragraph" w:styleId="EmailSignature">
    <w:name w:val="E-mail Signature"/>
    <w:basedOn w:val="Signature"/>
    <w:link w:val="EmailSignatureChar"/>
    <w:uiPriority w:val="99"/>
    <w:semiHidden/>
    <w:rsid w:val="00BB1312"/>
  </w:style>
  <w:style w:type="character" w:customStyle="1" w:styleId="EmailSignatureChar">
    <w:name w:val="Email Signature Char"/>
    <w:basedOn w:val="DefaultParagraphFont"/>
    <w:link w:val="EmailSignature"/>
    <w:uiPriority w:val="99"/>
    <w:semiHidden/>
    <w:rsid w:val="001D78E5"/>
    <w:rPr>
      <w:sz w:val="20"/>
    </w:rPr>
  </w:style>
  <w:style w:type="paragraph" w:styleId="EndnoteText">
    <w:name w:val="endnote text"/>
    <w:basedOn w:val="FootnoteText"/>
    <w:link w:val="EndnoteTextChar"/>
    <w:uiPriority w:val="99"/>
    <w:semiHidden/>
    <w:rsid w:val="000E1194"/>
  </w:style>
  <w:style w:type="character" w:customStyle="1" w:styleId="EndnoteTextChar">
    <w:name w:val="Endnote Text Char"/>
    <w:basedOn w:val="DefaultParagraphFont"/>
    <w:link w:val="EndnoteText"/>
    <w:uiPriority w:val="99"/>
    <w:semiHidden/>
    <w:rsid w:val="001D78E5"/>
    <w:rPr>
      <w:sz w:val="16"/>
    </w:rPr>
  </w:style>
  <w:style w:type="character" w:styleId="EndnoteReference">
    <w:name w:val="endnote reference"/>
    <w:basedOn w:val="FootnoteReference"/>
    <w:uiPriority w:val="99"/>
    <w:semiHidden/>
    <w:rsid w:val="008C0686"/>
    <w:rPr>
      <w:color w:val="AD003D" w:themeColor="accent1"/>
      <w:sz w:val="20"/>
      <w:vertAlign w:val="superscript"/>
    </w:rPr>
  </w:style>
  <w:style w:type="paragraph" w:styleId="Signature">
    <w:name w:val="Signature"/>
    <w:basedOn w:val="NoSpacing"/>
    <w:link w:val="SignatureChar"/>
    <w:uiPriority w:val="99"/>
    <w:semiHidden/>
    <w:rsid w:val="000A6849"/>
  </w:style>
  <w:style w:type="character" w:customStyle="1" w:styleId="SignatureChar">
    <w:name w:val="Signature Char"/>
    <w:basedOn w:val="DefaultParagraphFont"/>
    <w:link w:val="Signature"/>
    <w:uiPriority w:val="99"/>
    <w:semiHidden/>
    <w:rsid w:val="001D78E5"/>
    <w:rPr>
      <w:sz w:val="20"/>
    </w:rPr>
  </w:style>
  <w:style w:type="paragraph" w:styleId="Salutation">
    <w:name w:val="Salutation"/>
    <w:basedOn w:val="Normal"/>
    <w:next w:val="Normal"/>
    <w:link w:val="SalutationChar"/>
    <w:uiPriority w:val="99"/>
    <w:semiHidden/>
    <w:rsid w:val="000E1194"/>
  </w:style>
  <w:style w:type="character" w:customStyle="1" w:styleId="SalutationChar">
    <w:name w:val="Salutation Char"/>
    <w:basedOn w:val="DefaultParagraphFont"/>
    <w:link w:val="Salutation"/>
    <w:uiPriority w:val="99"/>
    <w:semiHidden/>
    <w:rsid w:val="001D78E5"/>
    <w:rPr>
      <w:sz w:val="20"/>
    </w:rPr>
  </w:style>
  <w:style w:type="character" w:styleId="BookTitle">
    <w:name w:val="Book Title"/>
    <w:uiPriority w:val="33"/>
    <w:unhideWhenUsed/>
    <w:rsid w:val="00227F89"/>
    <w:rPr>
      <w:i/>
    </w:rPr>
  </w:style>
  <w:style w:type="character" w:styleId="IntenseReference">
    <w:name w:val="Intense Reference"/>
    <w:basedOn w:val="SubtleReference"/>
    <w:uiPriority w:val="32"/>
    <w:semiHidden/>
    <w:rsid w:val="005424C3"/>
    <w:rPr>
      <w:i/>
      <w:color w:val="AD003D" w:themeColor="accent1"/>
    </w:rPr>
  </w:style>
  <w:style w:type="character" w:styleId="SubtleReference">
    <w:name w:val="Subtle Reference"/>
    <w:basedOn w:val="BookTitle"/>
    <w:uiPriority w:val="31"/>
    <w:semiHidden/>
    <w:rsid w:val="005424C3"/>
    <w:rPr>
      <w:i/>
      <w:color w:val="7F7F7F" w:themeColor="text1" w:themeTint="80"/>
    </w:rPr>
  </w:style>
  <w:style w:type="paragraph" w:styleId="Index1">
    <w:name w:val="index 1"/>
    <w:basedOn w:val="TOC1"/>
    <w:next w:val="Normal"/>
    <w:autoRedefine/>
    <w:uiPriority w:val="99"/>
    <w:semiHidden/>
    <w:rsid w:val="00BB1312"/>
    <w:pPr>
      <w:tabs>
        <w:tab w:val="clear" w:pos="9639"/>
        <w:tab w:val="right" w:leader="dot" w:pos="9628"/>
      </w:tabs>
    </w:pPr>
  </w:style>
  <w:style w:type="paragraph" w:styleId="IndexHeading">
    <w:name w:val="index heading"/>
    <w:basedOn w:val="Heading1BodyText"/>
    <w:next w:val="Index1"/>
    <w:uiPriority w:val="99"/>
    <w:semiHidden/>
    <w:rsid w:val="005424C3"/>
  </w:style>
  <w:style w:type="paragraph" w:styleId="EnvelopeAddress">
    <w:name w:val="envelope address"/>
    <w:basedOn w:val="Normal"/>
    <w:uiPriority w:val="99"/>
    <w:semiHidden/>
    <w:rsid w:val="00BB1312"/>
    <w:pPr>
      <w:framePr w:hSpace="567" w:wrap="notBeside" w:vAnchor="text" w:hAnchor="text" w:xAlign="right" w:y="1" w:anchorLock="1"/>
      <w:contextualSpacing/>
    </w:pPr>
  </w:style>
  <w:style w:type="paragraph" w:styleId="EnvelopeReturn">
    <w:name w:val="envelope return"/>
    <w:basedOn w:val="EnvelopeAddress"/>
    <w:uiPriority w:val="99"/>
    <w:semiHidden/>
    <w:rsid w:val="006C7FF8"/>
    <w:pPr>
      <w:framePr w:wrap="notBeside"/>
    </w:pPr>
  </w:style>
  <w:style w:type="character" w:styleId="HTMLAcronym">
    <w:name w:val="HTML Acronym"/>
    <w:basedOn w:val="BookTitle"/>
    <w:uiPriority w:val="99"/>
    <w:semiHidden/>
    <w:rsid w:val="008C0686"/>
    <w:rPr>
      <w:i/>
    </w:rPr>
  </w:style>
  <w:style w:type="paragraph" w:styleId="HTMLAddress">
    <w:name w:val="HTML Address"/>
    <w:basedOn w:val="Normal"/>
    <w:link w:val="HTMLAddressChar"/>
    <w:uiPriority w:val="99"/>
    <w:semiHidden/>
    <w:rsid w:val="00BB1312"/>
    <w:rPr>
      <w:rFonts w:ascii="Arial Narrow" w:hAnsi="Arial Narrow"/>
      <w:color w:val="5E3482" w:themeColor="accent2"/>
    </w:rPr>
  </w:style>
  <w:style w:type="character" w:customStyle="1" w:styleId="HTMLAddressChar">
    <w:name w:val="HTML Address Char"/>
    <w:basedOn w:val="DefaultParagraphFont"/>
    <w:link w:val="HTMLAddress"/>
    <w:uiPriority w:val="99"/>
    <w:semiHidden/>
    <w:rsid w:val="001D78E5"/>
    <w:rPr>
      <w:rFonts w:ascii="Arial Narrow" w:hAnsi="Arial Narrow"/>
      <w:color w:val="5E3482" w:themeColor="accent2"/>
      <w:sz w:val="20"/>
    </w:rPr>
  </w:style>
  <w:style w:type="character" w:styleId="HTMLCite">
    <w:name w:val="HTML Cite"/>
    <w:basedOn w:val="BookTitle"/>
    <w:uiPriority w:val="99"/>
    <w:semiHidden/>
    <w:rsid w:val="008C0686"/>
    <w:rPr>
      <w:i/>
    </w:rPr>
  </w:style>
  <w:style w:type="paragraph" w:styleId="PlainText">
    <w:name w:val="Plain Text"/>
    <w:basedOn w:val="Normal"/>
    <w:link w:val="PlainTextChar"/>
    <w:uiPriority w:val="99"/>
    <w:semiHidden/>
    <w:rsid w:val="00C96A49"/>
    <w:rPr>
      <w:rFonts w:ascii="Source Code Pro" w:hAnsi="Source Code Pro"/>
      <w:lang w:eastAsia="en-GB"/>
    </w:rPr>
  </w:style>
  <w:style w:type="character" w:customStyle="1" w:styleId="PlainTextChar">
    <w:name w:val="Plain Text Char"/>
    <w:basedOn w:val="DefaultParagraphFont"/>
    <w:link w:val="PlainText"/>
    <w:uiPriority w:val="99"/>
    <w:semiHidden/>
    <w:rsid w:val="00C96A49"/>
    <w:rPr>
      <w:rFonts w:ascii="Source Code Pro" w:hAnsi="Source Code Pro"/>
      <w:kern w:val="20"/>
      <w:sz w:val="20"/>
      <w:lang w:eastAsia="en-GB"/>
      <w14:ligatures w14:val="standardContextual"/>
      <w14:numForm w14:val="lining"/>
      <w14:numSpacing w14:val="tabular"/>
      <w14:cntxtAlts/>
    </w:rPr>
  </w:style>
  <w:style w:type="paragraph" w:styleId="MacroText">
    <w:name w:val="macro"/>
    <w:basedOn w:val="PlainText"/>
    <w:link w:val="MacroTextChar"/>
    <w:uiPriority w:val="99"/>
    <w:semiHidden/>
    <w:rsid w:val="008C0686"/>
  </w:style>
  <w:style w:type="character" w:customStyle="1" w:styleId="MacroTextChar">
    <w:name w:val="Macro Text Char"/>
    <w:basedOn w:val="DefaultParagraphFont"/>
    <w:link w:val="MacroText"/>
    <w:uiPriority w:val="99"/>
    <w:semiHidden/>
    <w:rsid w:val="001D78E5"/>
    <w:rPr>
      <w:rFonts w:ascii="Consolas" w:hAnsi="Consolas"/>
      <w:sz w:val="20"/>
      <w:lang w:eastAsia="en-GB"/>
    </w:rPr>
  </w:style>
  <w:style w:type="character" w:styleId="HTMLCode">
    <w:name w:val="HTML Code"/>
    <w:basedOn w:val="PlainTextChar"/>
    <w:uiPriority w:val="99"/>
    <w:semiHidden/>
    <w:rsid w:val="00C96A49"/>
    <w:rPr>
      <w:rFonts w:ascii="Source Code Pro" w:hAnsi="Source Code Pro"/>
      <w:noProof/>
      <w:kern w:val="20"/>
      <w:sz w:val="20"/>
      <w:lang w:val="en-GB" w:eastAsia="en-GB"/>
      <w14:ligatures w14:val="standardContextual"/>
      <w14:numForm w14:val="lining"/>
      <w14:numSpacing w14:val="tabular"/>
      <w14:cntxtAlts/>
    </w:rPr>
  </w:style>
  <w:style w:type="character" w:styleId="HTMLSample">
    <w:name w:val="HTML Sample"/>
    <w:basedOn w:val="HTMLCode"/>
    <w:uiPriority w:val="99"/>
    <w:semiHidden/>
    <w:rsid w:val="00C96A49"/>
    <w:rPr>
      <w:rFonts w:ascii="Source Code Pro" w:hAnsi="Source Code Pro"/>
      <w:noProof/>
      <w:kern w:val="20"/>
      <w:sz w:val="20"/>
      <w:lang w:val="en-GB" w:eastAsia="en-GB"/>
      <w14:ligatures w14:val="standardContextual"/>
      <w14:numForm w14:val="lining"/>
      <w14:numSpacing w14:val="tabular"/>
      <w14:cntxtAlts/>
    </w:rPr>
  </w:style>
  <w:style w:type="character" w:styleId="HTMLTypewriter">
    <w:name w:val="HTML Typewriter"/>
    <w:basedOn w:val="HTMLKeyboard"/>
    <w:uiPriority w:val="99"/>
    <w:semiHidden/>
    <w:rsid w:val="00C96A49"/>
    <w:rPr>
      <w:rFonts w:ascii="Source Code Pro" w:hAnsi="Source Code Pro"/>
      <w:noProof/>
      <w:kern w:val="20"/>
      <w:sz w:val="20"/>
      <w:lang w:val="en-GB" w:eastAsia="en-GB"/>
      <w14:ligatures w14:val="standardContextual"/>
      <w14:numForm w14:val="lining"/>
      <w14:numSpacing w14:val="tabular"/>
      <w14:cntxtAlts/>
    </w:rPr>
  </w:style>
  <w:style w:type="character" w:styleId="HTMLKeyboard">
    <w:name w:val="HTML Keyboard"/>
    <w:basedOn w:val="HTMLCode"/>
    <w:uiPriority w:val="99"/>
    <w:semiHidden/>
    <w:rsid w:val="00C96A49"/>
    <w:rPr>
      <w:rFonts w:ascii="Source Code Pro" w:hAnsi="Source Code Pro"/>
      <w:noProof/>
      <w:kern w:val="20"/>
      <w:sz w:val="20"/>
      <w:lang w:val="en-GB" w:eastAsia="en-GB"/>
      <w14:ligatures w14:val="standardContextual"/>
      <w14:numForm w14:val="lining"/>
      <w14:numSpacing w14:val="tabular"/>
      <w14:cntxtAlts/>
    </w:rPr>
  </w:style>
  <w:style w:type="paragraph" w:styleId="HTMLPreformatted">
    <w:name w:val="HTML Preformatted"/>
    <w:basedOn w:val="PlainText"/>
    <w:link w:val="HTMLPreformattedChar"/>
    <w:uiPriority w:val="99"/>
    <w:semiHidden/>
    <w:rsid w:val="006C7FF8"/>
  </w:style>
  <w:style w:type="character" w:customStyle="1" w:styleId="HTMLPreformattedChar">
    <w:name w:val="HTML Preformatted Char"/>
    <w:basedOn w:val="DefaultParagraphFont"/>
    <w:link w:val="HTMLPreformatted"/>
    <w:uiPriority w:val="99"/>
    <w:semiHidden/>
    <w:rsid w:val="001D78E5"/>
    <w:rPr>
      <w:rFonts w:ascii="Consolas" w:hAnsi="Consolas"/>
      <w:sz w:val="20"/>
      <w:lang w:eastAsia="en-GB"/>
    </w:rPr>
  </w:style>
  <w:style w:type="character" w:styleId="HTMLVariable">
    <w:name w:val="HTML Variable"/>
    <w:basedOn w:val="HTMLCode"/>
    <w:uiPriority w:val="99"/>
    <w:semiHidden/>
    <w:rsid w:val="00C96A49"/>
    <w:rPr>
      <w:rFonts w:ascii="Source Code Pro" w:hAnsi="Source Code Pro"/>
      <w:noProof/>
      <w:color w:val="AD003D" w:themeColor="accent1"/>
      <w:kern w:val="20"/>
      <w:sz w:val="20"/>
      <w:lang w:val="en-GB" w:eastAsia="en-GB"/>
      <w14:ligatures w14:val="standardContextual"/>
      <w14:numForm w14:val="lining"/>
      <w14:numSpacing w14:val="tabular"/>
      <w14:cntxtAlts/>
    </w:rPr>
  </w:style>
  <w:style w:type="paragraph" w:styleId="NormalIndent">
    <w:name w:val="Normal Indent"/>
    <w:basedOn w:val="BodyTextIndent"/>
    <w:uiPriority w:val="99"/>
    <w:semiHidden/>
    <w:rsid w:val="006C7FF8"/>
  </w:style>
  <w:style w:type="paragraph" w:styleId="Date">
    <w:name w:val="Date"/>
    <w:basedOn w:val="Normal"/>
    <w:next w:val="Normal"/>
    <w:link w:val="DateChar"/>
    <w:uiPriority w:val="99"/>
    <w:semiHidden/>
    <w:rsid w:val="006C7FF8"/>
  </w:style>
  <w:style w:type="character" w:customStyle="1" w:styleId="DateChar">
    <w:name w:val="Date Char"/>
    <w:basedOn w:val="DefaultParagraphFont"/>
    <w:link w:val="Date"/>
    <w:uiPriority w:val="99"/>
    <w:semiHidden/>
    <w:rsid w:val="001D78E5"/>
    <w:rPr>
      <w:sz w:val="20"/>
    </w:rPr>
  </w:style>
  <w:style w:type="character" w:styleId="FollowedHyperlink">
    <w:name w:val="FollowedHyperlink"/>
    <w:basedOn w:val="DefaultParagraphFont"/>
    <w:uiPriority w:val="99"/>
    <w:semiHidden/>
    <w:rsid w:val="00BB1312"/>
    <w:rPr>
      <w:color w:val="0D5A4A" w:themeColor="followedHyperlink"/>
      <w:u w:val="none"/>
    </w:rPr>
  </w:style>
  <w:style w:type="paragraph" w:styleId="Index2">
    <w:name w:val="index 2"/>
    <w:basedOn w:val="TOC2"/>
    <w:next w:val="Normal"/>
    <w:autoRedefine/>
    <w:uiPriority w:val="99"/>
    <w:semiHidden/>
    <w:rsid w:val="00BB1312"/>
    <w:pPr>
      <w:tabs>
        <w:tab w:val="clear" w:pos="9639"/>
        <w:tab w:val="right" w:leader="dot" w:pos="9628"/>
      </w:tabs>
    </w:pPr>
  </w:style>
  <w:style w:type="paragraph" w:styleId="Index3">
    <w:name w:val="index 3"/>
    <w:basedOn w:val="TOC3"/>
    <w:next w:val="Normal"/>
    <w:autoRedefine/>
    <w:uiPriority w:val="99"/>
    <w:semiHidden/>
    <w:rsid w:val="00BB1312"/>
    <w:pPr>
      <w:tabs>
        <w:tab w:val="clear" w:pos="9639"/>
        <w:tab w:val="right" w:leader="dot" w:pos="9628"/>
      </w:tabs>
    </w:pPr>
  </w:style>
  <w:style w:type="paragraph" w:styleId="Index4">
    <w:name w:val="index 4"/>
    <w:basedOn w:val="TOC4"/>
    <w:next w:val="Normal"/>
    <w:autoRedefine/>
    <w:uiPriority w:val="99"/>
    <w:semiHidden/>
    <w:rsid w:val="00BB1312"/>
    <w:pPr>
      <w:tabs>
        <w:tab w:val="clear" w:pos="9639"/>
        <w:tab w:val="right" w:leader="dot" w:pos="9628"/>
      </w:tabs>
    </w:pPr>
  </w:style>
  <w:style w:type="paragraph" w:styleId="Index5">
    <w:name w:val="index 5"/>
    <w:basedOn w:val="TOC5"/>
    <w:next w:val="Normal"/>
    <w:autoRedefine/>
    <w:uiPriority w:val="99"/>
    <w:semiHidden/>
    <w:rsid w:val="00BB1312"/>
    <w:pPr>
      <w:tabs>
        <w:tab w:val="clear" w:pos="9639"/>
        <w:tab w:val="right" w:leader="dot" w:pos="9628"/>
      </w:tabs>
    </w:pPr>
  </w:style>
  <w:style w:type="paragraph" w:styleId="Index6">
    <w:name w:val="index 6"/>
    <w:basedOn w:val="TOC6"/>
    <w:next w:val="Normal"/>
    <w:autoRedefine/>
    <w:uiPriority w:val="99"/>
    <w:semiHidden/>
    <w:rsid w:val="00BB1312"/>
    <w:pPr>
      <w:tabs>
        <w:tab w:val="clear" w:pos="9639"/>
        <w:tab w:val="right" w:leader="dot" w:pos="9628"/>
      </w:tabs>
    </w:pPr>
  </w:style>
  <w:style w:type="paragraph" w:styleId="Index7">
    <w:name w:val="index 7"/>
    <w:basedOn w:val="TOC7"/>
    <w:next w:val="Normal"/>
    <w:autoRedefine/>
    <w:uiPriority w:val="99"/>
    <w:semiHidden/>
    <w:rsid w:val="00BB1312"/>
    <w:pPr>
      <w:tabs>
        <w:tab w:val="clear" w:pos="9639"/>
        <w:tab w:val="right" w:leader="dot" w:pos="9628"/>
      </w:tabs>
    </w:pPr>
  </w:style>
  <w:style w:type="paragraph" w:styleId="Index8">
    <w:name w:val="index 8"/>
    <w:basedOn w:val="TOC8"/>
    <w:next w:val="Normal"/>
    <w:autoRedefine/>
    <w:uiPriority w:val="99"/>
    <w:semiHidden/>
    <w:rsid w:val="00BB1312"/>
    <w:pPr>
      <w:tabs>
        <w:tab w:val="clear" w:pos="9639"/>
        <w:tab w:val="right" w:leader="dot" w:pos="9628"/>
      </w:tabs>
    </w:pPr>
  </w:style>
  <w:style w:type="paragraph" w:styleId="Index9">
    <w:name w:val="index 9"/>
    <w:basedOn w:val="TOC9"/>
    <w:next w:val="Normal"/>
    <w:autoRedefine/>
    <w:uiPriority w:val="99"/>
    <w:semiHidden/>
    <w:rsid w:val="00BB1312"/>
    <w:pPr>
      <w:tabs>
        <w:tab w:val="clear" w:pos="9639"/>
        <w:tab w:val="right" w:leader="dot" w:pos="9628"/>
      </w:tabs>
    </w:pPr>
  </w:style>
  <w:style w:type="character" w:styleId="LineNumber">
    <w:name w:val="line number"/>
    <w:basedOn w:val="PageNumber"/>
    <w:uiPriority w:val="99"/>
    <w:semiHidden/>
    <w:rsid w:val="00BB1312"/>
    <w:rPr>
      <w:color w:val="auto"/>
      <w:sz w:val="16"/>
    </w:rPr>
  </w:style>
  <w:style w:type="character" w:styleId="Emphasis">
    <w:name w:val="Emphasis"/>
    <w:basedOn w:val="DefaultParagraphFont"/>
    <w:uiPriority w:val="20"/>
    <w:rsid w:val="00BB1312"/>
    <w:rPr>
      <w:i/>
      <w:iCs/>
    </w:rPr>
  </w:style>
  <w:style w:type="character" w:styleId="PageNumber">
    <w:name w:val="page number"/>
    <w:basedOn w:val="FooterChar"/>
    <w:uiPriority w:val="99"/>
    <w:semiHidden/>
    <w:rsid w:val="00CE4209"/>
    <w:rPr>
      <w:color w:val="auto"/>
      <w:sz w:val="16"/>
    </w:rPr>
  </w:style>
  <w:style w:type="paragraph" w:styleId="List">
    <w:name w:val="List"/>
    <w:basedOn w:val="ListParagraph"/>
    <w:uiPriority w:val="99"/>
    <w:semiHidden/>
    <w:rsid w:val="00BB1312"/>
  </w:style>
  <w:style w:type="paragraph" w:styleId="List2">
    <w:name w:val="List 2"/>
    <w:basedOn w:val="List"/>
    <w:uiPriority w:val="99"/>
    <w:semiHidden/>
    <w:rsid w:val="00CC7BFE"/>
    <w:pPr>
      <w:ind w:left="1134"/>
    </w:pPr>
  </w:style>
  <w:style w:type="paragraph" w:styleId="List3">
    <w:name w:val="List 3"/>
    <w:basedOn w:val="List"/>
    <w:uiPriority w:val="99"/>
    <w:semiHidden/>
    <w:rsid w:val="00CC7BFE"/>
    <w:pPr>
      <w:ind w:left="1701"/>
    </w:pPr>
  </w:style>
  <w:style w:type="paragraph" w:styleId="List4">
    <w:name w:val="List 4"/>
    <w:basedOn w:val="List"/>
    <w:uiPriority w:val="99"/>
    <w:semiHidden/>
    <w:rsid w:val="00CC7BFE"/>
    <w:pPr>
      <w:ind w:left="2268"/>
    </w:pPr>
  </w:style>
  <w:style w:type="paragraph" w:styleId="List5">
    <w:name w:val="List 5"/>
    <w:basedOn w:val="List"/>
    <w:uiPriority w:val="99"/>
    <w:semiHidden/>
    <w:rsid w:val="00CC7BFE"/>
    <w:pPr>
      <w:ind w:left="2835"/>
    </w:pPr>
  </w:style>
  <w:style w:type="paragraph" w:styleId="ListBullet">
    <w:name w:val="List Bullet"/>
    <w:basedOn w:val="ListParagraph"/>
    <w:uiPriority w:val="99"/>
    <w:semiHidden/>
    <w:rsid w:val="00CC7BFE"/>
    <w:pPr>
      <w:numPr>
        <w:numId w:val="13"/>
      </w:numPr>
    </w:pPr>
  </w:style>
  <w:style w:type="paragraph" w:styleId="ListBullet2">
    <w:name w:val="List Bullet 2"/>
    <w:basedOn w:val="ListBullet"/>
    <w:uiPriority w:val="99"/>
    <w:semiHidden/>
    <w:rsid w:val="00CC7BFE"/>
    <w:pPr>
      <w:numPr>
        <w:ilvl w:val="1"/>
      </w:numPr>
    </w:pPr>
  </w:style>
  <w:style w:type="paragraph" w:styleId="ListBullet3">
    <w:name w:val="List Bullet 3"/>
    <w:basedOn w:val="ListBullet2"/>
    <w:uiPriority w:val="99"/>
    <w:semiHidden/>
    <w:rsid w:val="00CC7BFE"/>
    <w:pPr>
      <w:numPr>
        <w:ilvl w:val="2"/>
      </w:numPr>
    </w:pPr>
  </w:style>
  <w:style w:type="paragraph" w:styleId="ListBullet4">
    <w:name w:val="List Bullet 4"/>
    <w:basedOn w:val="ListBullet3"/>
    <w:uiPriority w:val="99"/>
    <w:semiHidden/>
    <w:rsid w:val="00CC7BFE"/>
    <w:pPr>
      <w:numPr>
        <w:ilvl w:val="3"/>
      </w:numPr>
    </w:pPr>
  </w:style>
  <w:style w:type="paragraph" w:styleId="ListBullet5">
    <w:name w:val="List Bullet 5"/>
    <w:basedOn w:val="ListBullet4"/>
    <w:uiPriority w:val="99"/>
    <w:semiHidden/>
    <w:rsid w:val="00CC7BFE"/>
    <w:pPr>
      <w:numPr>
        <w:ilvl w:val="4"/>
      </w:numPr>
    </w:pPr>
  </w:style>
  <w:style w:type="paragraph" w:styleId="ListContinue">
    <w:name w:val="List Continue"/>
    <w:basedOn w:val="List"/>
    <w:uiPriority w:val="99"/>
    <w:semiHidden/>
    <w:rsid w:val="00BB1312"/>
  </w:style>
  <w:style w:type="paragraph" w:styleId="ListContinue2">
    <w:name w:val="List Continue 2"/>
    <w:basedOn w:val="List2"/>
    <w:uiPriority w:val="99"/>
    <w:semiHidden/>
    <w:rsid w:val="00BB1312"/>
  </w:style>
  <w:style w:type="paragraph" w:styleId="ListContinue3">
    <w:name w:val="List Continue 3"/>
    <w:basedOn w:val="List3"/>
    <w:uiPriority w:val="99"/>
    <w:semiHidden/>
    <w:rsid w:val="00CC7BFE"/>
  </w:style>
  <w:style w:type="paragraph" w:styleId="ListContinue4">
    <w:name w:val="List Continue 4"/>
    <w:basedOn w:val="List4"/>
    <w:uiPriority w:val="99"/>
    <w:semiHidden/>
    <w:rsid w:val="00CC7BFE"/>
  </w:style>
  <w:style w:type="paragraph" w:styleId="ListContinue5">
    <w:name w:val="List Continue 5"/>
    <w:basedOn w:val="List5"/>
    <w:uiPriority w:val="99"/>
    <w:semiHidden/>
    <w:rsid w:val="00CC7BFE"/>
  </w:style>
  <w:style w:type="paragraph" w:styleId="ListNumber">
    <w:name w:val="List Number"/>
    <w:basedOn w:val="ListParagraph"/>
    <w:uiPriority w:val="99"/>
    <w:semiHidden/>
    <w:rsid w:val="00CC7BFE"/>
    <w:pPr>
      <w:numPr>
        <w:numId w:val="14"/>
      </w:numPr>
    </w:pPr>
  </w:style>
  <w:style w:type="paragraph" w:styleId="ListNumber2">
    <w:name w:val="List Number 2"/>
    <w:basedOn w:val="ListNumber"/>
    <w:uiPriority w:val="99"/>
    <w:semiHidden/>
    <w:rsid w:val="00CC7BFE"/>
    <w:pPr>
      <w:numPr>
        <w:ilvl w:val="1"/>
      </w:numPr>
    </w:pPr>
  </w:style>
  <w:style w:type="paragraph" w:styleId="ListNumber3">
    <w:name w:val="List Number 3"/>
    <w:basedOn w:val="ListNumber2"/>
    <w:uiPriority w:val="99"/>
    <w:semiHidden/>
    <w:rsid w:val="00CC7BFE"/>
    <w:pPr>
      <w:numPr>
        <w:ilvl w:val="2"/>
      </w:numPr>
    </w:pPr>
  </w:style>
  <w:style w:type="paragraph" w:styleId="ListNumber4">
    <w:name w:val="List Number 4"/>
    <w:basedOn w:val="ListNumber3"/>
    <w:uiPriority w:val="99"/>
    <w:semiHidden/>
    <w:rsid w:val="00CC7BFE"/>
    <w:pPr>
      <w:numPr>
        <w:ilvl w:val="3"/>
      </w:numPr>
    </w:pPr>
  </w:style>
  <w:style w:type="paragraph" w:styleId="ListNumber5">
    <w:name w:val="List Number 5"/>
    <w:basedOn w:val="ListNumber4"/>
    <w:uiPriority w:val="99"/>
    <w:semiHidden/>
    <w:rsid w:val="00CC7BFE"/>
    <w:pPr>
      <w:numPr>
        <w:ilvl w:val="4"/>
      </w:numPr>
    </w:pPr>
  </w:style>
  <w:style w:type="paragraph" w:styleId="MessageHeader">
    <w:name w:val="Message Header"/>
    <w:basedOn w:val="Heading1BodyText"/>
    <w:link w:val="MessageHeaderChar"/>
    <w:uiPriority w:val="99"/>
    <w:semiHidden/>
    <w:rsid w:val="005424C3"/>
  </w:style>
  <w:style w:type="character" w:customStyle="1" w:styleId="MessageHeaderChar">
    <w:name w:val="Message Header Char"/>
    <w:basedOn w:val="DefaultParagraphFont"/>
    <w:link w:val="MessageHeader"/>
    <w:uiPriority w:val="99"/>
    <w:semiHidden/>
    <w:rsid w:val="001D78E5"/>
    <w:rPr>
      <w:rFonts w:asciiTheme="majorHAnsi" w:hAnsiTheme="majorHAnsi"/>
      <w:color w:val="870034" w:themeColor="text2"/>
      <w:sz w:val="40"/>
    </w:rPr>
  </w:style>
  <w:style w:type="paragraph" w:styleId="NormalWeb">
    <w:name w:val="Normal (Web)"/>
    <w:basedOn w:val="Normal"/>
    <w:uiPriority w:val="99"/>
    <w:semiHidden/>
    <w:rsid w:val="005424C3"/>
    <w:rPr>
      <w:rFonts w:ascii="Tahoma" w:hAnsi="Tahoma"/>
    </w:rPr>
  </w:style>
  <w:style w:type="paragraph" w:styleId="NoteHeading">
    <w:name w:val="Note Heading"/>
    <w:basedOn w:val="Heading1BodyText"/>
    <w:next w:val="Normal"/>
    <w:link w:val="NoteHeadingChar"/>
    <w:uiPriority w:val="99"/>
    <w:semiHidden/>
    <w:rsid w:val="005424C3"/>
  </w:style>
  <w:style w:type="character" w:customStyle="1" w:styleId="NoteHeadingChar">
    <w:name w:val="Note Heading Char"/>
    <w:basedOn w:val="DefaultParagraphFont"/>
    <w:link w:val="NoteHeading"/>
    <w:uiPriority w:val="99"/>
    <w:semiHidden/>
    <w:rsid w:val="001D78E5"/>
    <w:rPr>
      <w:rFonts w:asciiTheme="majorHAnsi" w:hAnsiTheme="majorHAnsi"/>
      <w:color w:val="870034" w:themeColor="text2"/>
      <w:sz w:val="40"/>
    </w:rPr>
  </w:style>
  <w:style w:type="paragraph" w:customStyle="1" w:styleId="Heading1BodyText">
    <w:name w:val="Heading 1 (Body Text)"/>
    <w:basedOn w:val="Heading1"/>
    <w:next w:val="Normal"/>
    <w:uiPriority w:val="10"/>
    <w:semiHidden/>
    <w:rsid w:val="005424C3"/>
    <w:pPr>
      <w:outlineLvl w:val="9"/>
    </w:pPr>
  </w:style>
  <w:style w:type="character" w:styleId="Mention">
    <w:name w:val="Mention"/>
    <w:uiPriority w:val="99"/>
    <w:semiHidden/>
    <w:rsid w:val="005424C3"/>
  </w:style>
  <w:style w:type="character" w:styleId="SmartHyperlink">
    <w:name w:val="Smart Hyperlink"/>
    <w:basedOn w:val="Hyperlink"/>
    <w:uiPriority w:val="99"/>
    <w:semiHidden/>
    <w:rsid w:val="005424C3"/>
    <w:rPr>
      <w:color w:val="0D5A4A" w:themeColor="hyperlink"/>
      <w:u w:val="none" w:color="3D8B7A"/>
    </w:rPr>
  </w:style>
  <w:style w:type="table" w:styleId="GridTable2-Accent1">
    <w:name w:val="Grid Table 2 Accent 1"/>
    <w:basedOn w:val="TableNormal"/>
    <w:uiPriority w:val="47"/>
    <w:rsid w:val="00C96A49"/>
    <w:pPr>
      <w:spacing w:after="0" w:line="240" w:lineRule="auto"/>
    </w:pPr>
    <w:tblPr>
      <w:tblStyleRowBandSize w:val="1"/>
      <w:tblStyleColBandSize w:val="1"/>
      <w:tblBorders>
        <w:top w:val="single" w:sz="2" w:space="0" w:color="FF347B" w:themeColor="accent1" w:themeTint="99"/>
        <w:bottom w:val="single" w:sz="2" w:space="0" w:color="FF347B" w:themeColor="accent1" w:themeTint="99"/>
        <w:insideH w:val="single" w:sz="2" w:space="0" w:color="FF347B" w:themeColor="accent1" w:themeTint="99"/>
        <w:insideV w:val="single" w:sz="2" w:space="0" w:color="FF347B" w:themeColor="accent1" w:themeTint="99"/>
      </w:tblBorders>
    </w:tblPr>
    <w:tblStylePr w:type="firstRow">
      <w:rPr>
        <w:b/>
        <w:bCs/>
      </w:rPr>
      <w:tblPr/>
      <w:tcPr>
        <w:tcBorders>
          <w:top w:val="nil"/>
          <w:bottom w:val="single" w:sz="12" w:space="0" w:color="FF347B" w:themeColor="accent1" w:themeTint="99"/>
          <w:insideH w:val="nil"/>
          <w:insideV w:val="nil"/>
        </w:tcBorders>
        <w:shd w:val="clear" w:color="auto" w:fill="FFFFFF" w:themeFill="background1"/>
      </w:tcPr>
    </w:tblStylePr>
    <w:tblStylePr w:type="lastRow">
      <w:rPr>
        <w:b/>
        <w:bCs/>
      </w:rPr>
      <w:tblPr/>
      <w:tcPr>
        <w:tcBorders>
          <w:top w:val="double" w:sz="2" w:space="0" w:color="FF347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BD2" w:themeFill="accent1" w:themeFillTint="33"/>
      </w:tcPr>
    </w:tblStylePr>
    <w:tblStylePr w:type="band1Horz">
      <w:tblPr/>
      <w:tcPr>
        <w:shd w:val="clear" w:color="auto" w:fill="FFBBD2" w:themeFill="accent1" w:themeFillTint="33"/>
      </w:tcPr>
    </w:tblStylePr>
  </w:style>
  <w:style w:type="character" w:styleId="PlaceholderText">
    <w:name w:val="Placeholder Text"/>
    <w:basedOn w:val="DefaultParagraphFont"/>
    <w:uiPriority w:val="99"/>
    <w:semiHidden/>
    <w:rsid w:val="00CE4209"/>
    <w:rPr>
      <w:color w:val="808080"/>
    </w:rPr>
  </w:style>
  <w:style w:type="numbering" w:customStyle="1" w:styleId="OrderedList">
    <w:name w:val="Ordered List"/>
    <w:uiPriority w:val="99"/>
    <w:rsid w:val="005F6BCF"/>
    <w:pPr>
      <w:numPr>
        <w:numId w:val="25"/>
      </w:numPr>
    </w:pPr>
  </w:style>
  <w:style w:type="numbering" w:customStyle="1" w:styleId="UnorderedList">
    <w:name w:val="Unordered List"/>
    <w:uiPriority w:val="99"/>
    <w:rsid w:val="005F6BCF"/>
    <w:pPr>
      <w:numPr>
        <w:numId w:val="27"/>
      </w:numPr>
    </w:pPr>
  </w:style>
  <w:style w:type="table" w:styleId="GridTable5Dark-Accent6">
    <w:name w:val="Grid Table 5 Dark Accent 6"/>
    <w:basedOn w:val="TableNormal"/>
    <w:uiPriority w:val="50"/>
    <w:rsid w:val="00C96A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8D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B912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B912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B912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B912D" w:themeFill="accent6"/>
      </w:tcPr>
    </w:tblStylePr>
    <w:tblStylePr w:type="band1Vert">
      <w:tblPr/>
      <w:tcPr>
        <w:shd w:val="clear" w:color="auto" w:fill="F7D2AB" w:themeFill="accent6" w:themeFillTint="66"/>
      </w:tcPr>
    </w:tblStylePr>
    <w:tblStylePr w:type="band1Horz">
      <w:tblPr/>
      <w:tcPr>
        <w:shd w:val="clear" w:color="auto" w:fill="F7D2AB" w:themeFill="accent6" w:themeFillTint="66"/>
      </w:tcPr>
    </w:tblStylePr>
  </w:style>
  <w:style w:type="table" w:styleId="ListTable1Light">
    <w:name w:val="List Table 1 Light"/>
    <w:basedOn w:val="TableNormal"/>
    <w:uiPriority w:val="46"/>
    <w:rsid w:val="00C96A4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
    <w:name w:val="List Table 6 Colorful"/>
    <w:basedOn w:val="TableNormal"/>
    <w:uiPriority w:val="51"/>
    <w:rsid w:val="00C96A4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urfulAccent5">
    <w:name w:val="List Table 7 Colorful Accent 5"/>
    <w:basedOn w:val="TableNormal"/>
    <w:uiPriority w:val="52"/>
    <w:rsid w:val="00C96A49"/>
    <w:pPr>
      <w:spacing w:after="0" w:line="240" w:lineRule="auto"/>
    </w:pPr>
    <w:rPr>
      <w:color w:val="0B65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885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885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885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8852" w:themeColor="accent5"/>
        </w:tcBorders>
        <w:shd w:val="clear" w:color="auto" w:fill="FFFFFF" w:themeFill="background1"/>
      </w:tcPr>
    </w:tblStylePr>
    <w:tblStylePr w:type="band1Vert">
      <w:tblPr/>
      <w:tcPr>
        <w:shd w:val="clear" w:color="auto" w:fill="BEF8DE" w:themeFill="accent5" w:themeFillTint="33"/>
      </w:tcPr>
    </w:tblStylePr>
    <w:tblStylePr w:type="band1Horz">
      <w:tblPr/>
      <w:tcPr>
        <w:shd w:val="clear" w:color="auto" w:fill="BEF8D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C96A49"/>
    <w:pPr>
      <w:spacing w:after="0" w:line="240" w:lineRule="auto"/>
    </w:pPr>
    <w:rPr>
      <w:color w:val="81002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003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003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003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003D" w:themeColor="accent1"/>
        </w:tcBorders>
        <w:shd w:val="clear" w:color="auto" w:fill="FFFFFF" w:themeFill="background1"/>
      </w:tcPr>
    </w:tblStylePr>
    <w:tblStylePr w:type="band1Vert">
      <w:tblPr/>
      <w:tcPr>
        <w:shd w:val="clear" w:color="auto" w:fill="FFBBD2" w:themeFill="accent1" w:themeFillTint="33"/>
      </w:tcPr>
    </w:tblStylePr>
    <w:tblStylePr w:type="band1Horz">
      <w:tblPr/>
      <w:tcPr>
        <w:shd w:val="clear" w:color="auto" w:fill="FFBBD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C96A4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C96A4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C96A4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Text">
    <w:name w:val="Table Text"/>
    <w:basedOn w:val="Normal"/>
    <w:uiPriority w:val="38"/>
    <w:rsid w:val="008A16A1"/>
    <w:pPr>
      <w:spacing w:after="60" w:line="240" w:lineRule="auto"/>
    </w:pPr>
    <w:rPr>
      <w:sz w:val="19"/>
    </w:rPr>
  </w:style>
  <w:style w:type="character" w:styleId="UnresolvedMention">
    <w:name w:val="Unresolved Mention"/>
    <w:basedOn w:val="DefaultParagraphFont"/>
    <w:uiPriority w:val="99"/>
    <w:semiHidden/>
    <w:unhideWhenUsed/>
    <w:rsid w:val="00D7094D"/>
    <w:rPr>
      <w:color w:val="605E5C"/>
      <w:shd w:val="clear" w:color="auto" w:fill="E1DFDD"/>
    </w:rPr>
  </w:style>
  <w:style w:type="table" w:customStyle="1" w:styleId="Box">
    <w:name w:val="Box"/>
    <w:basedOn w:val="TableGrid"/>
    <w:uiPriority w:val="99"/>
    <w:rsid w:val="006D577B"/>
    <w:pPr>
      <w:spacing w:before="120" w:after="40" w:line="312" w:lineRule="auto"/>
    </w:pPr>
    <w:tblPr>
      <w:tbl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one" w:sz="0" w:space="0" w:color="auto"/>
        <w:insideV w:val="none" w:sz="0" w:space="0" w:color="auto"/>
      </w:tblBorders>
      <w:tblCellMar>
        <w:top w:w="113" w:type="dxa"/>
        <w:left w:w="284" w:type="dxa"/>
        <w:bottom w:w="113" w:type="dxa"/>
        <w:right w:w="284" w:type="dxa"/>
      </w:tblCellMar>
    </w:tblPr>
    <w:tblStylePr w:type="firstRow">
      <w:pPr>
        <w:keepNext/>
        <w:wordWrap/>
      </w:pPr>
      <w:rPr>
        <w:rFonts w:asciiTheme="minorHAnsi" w:hAnsiTheme="minorHAnsi"/>
        <w:b w:val="0"/>
      </w:rPr>
      <w:tblPr/>
      <w:tcPr>
        <w:tcBorders>
          <w:bottom w:val="nil"/>
        </w:tcBorders>
        <w:shd w:val="clear" w:color="auto" w:fill="F0EDE8" w:themeFill="background2"/>
      </w:tcPr>
    </w:tblStylePr>
    <w:tblStylePr w:type="lastRow">
      <w:rPr>
        <w:rFonts w:asciiTheme="minorHAnsi" w:hAnsiTheme="minorHAnsi"/>
        <w:b w:val="0"/>
      </w:rPr>
      <w:tblPr/>
      <w:tcPr>
        <w:tcBorders>
          <w:top w:val="single" w:sz="4" w:space="0" w:color="8F7C5D" w:themeColor="background2" w:themeShade="80"/>
        </w:tcBorders>
        <w:shd w:val="clear" w:color="auto" w:fill="F0EDE8" w:themeFill="background2"/>
      </w:tcPr>
    </w:tblStylePr>
    <w:tblStylePr w:type="firstCol">
      <w:rPr>
        <w:rFonts w:asciiTheme="minorHAnsi" w:hAnsiTheme="minorHAnsi"/>
        <w:b w:val="0"/>
      </w:rPr>
      <w:tblPr/>
      <w:tcPr>
        <w:tcBorders>
          <w:right w:val="single" w:sz="4" w:space="0" w:color="8F7C5D" w:themeColor="background2" w:themeShade="80"/>
        </w:tcBorders>
        <w:shd w:val="clear" w:color="auto" w:fill="F0EDE8" w:themeFill="background2"/>
      </w:tcPr>
    </w:tblStylePr>
    <w:tblStylePr w:type="lastCol">
      <w:rPr>
        <w:rFonts w:asciiTheme="minorHAnsi" w:hAnsiTheme="minorHAnsi"/>
        <w:b w:val="0"/>
      </w:rPr>
      <w:tblPr/>
      <w:tcPr>
        <w:tcBorders>
          <w:left w:val="single" w:sz="4" w:space="0" w:color="8F7C5D" w:themeColor="background2" w:themeShade="80"/>
        </w:tcBorders>
        <w:shd w:val="clear" w:color="auto" w:fill="F0EDE8" w:themeFill="background2"/>
      </w:tcPr>
    </w:tblStylePr>
    <w:tblStylePr w:type="band1Vert">
      <w:tblPr/>
      <w:tcPr>
        <w:tcBorders>
          <w:left w:val="single" w:sz="4" w:space="0" w:color="8F7C5D" w:themeColor="background2" w:themeShade="80"/>
          <w:right w:val="single" w:sz="4" w:space="0" w:color="8F7C5D" w:themeColor="background2" w:themeShade="80"/>
        </w:tcBorders>
        <w:shd w:val="clear" w:color="auto" w:fill="F0EDE8" w:themeFill="background2"/>
      </w:tcPr>
    </w:tblStylePr>
    <w:tblStylePr w:type="band2Vert">
      <w:tblPr/>
      <w:tcPr>
        <w:tcBorders>
          <w:left w:val="single" w:sz="4" w:space="0" w:color="8F7C5D" w:themeColor="background2" w:themeShade="80"/>
          <w:right w:val="single" w:sz="4" w:space="0" w:color="8F7C5D" w:themeColor="background2" w:themeShade="80"/>
        </w:tcBorders>
        <w:shd w:val="clear" w:color="auto" w:fill="F0EDE8" w:themeFill="background2"/>
      </w:tcPr>
    </w:tblStylePr>
    <w:tblStylePr w:type="band1Horz">
      <w:tblPr/>
      <w:tcPr>
        <w:tcBorders>
          <w:top w:val="single" w:sz="4" w:space="0" w:color="8F7C5D" w:themeColor="background2" w:themeShade="80"/>
          <w:bottom w:val="single" w:sz="4" w:space="0" w:color="8F7C5D" w:themeColor="background2" w:themeShade="80"/>
        </w:tcBorders>
        <w:shd w:val="clear" w:color="auto" w:fill="F0EDE8" w:themeFill="background2"/>
      </w:tcPr>
    </w:tblStylePr>
    <w:tblStylePr w:type="band2Horz">
      <w:tblPr/>
      <w:tcPr>
        <w:tcBorders>
          <w:top w:val="single" w:sz="4" w:space="0" w:color="8F7C5D" w:themeColor="background2" w:themeShade="80"/>
          <w:bottom w:val="single" w:sz="4" w:space="0" w:color="8F7C5D" w:themeColor="background2" w:themeShade="80"/>
        </w:tcBorders>
        <w:shd w:val="clear" w:color="auto" w:fill="F0EDE8" w:themeFill="background2"/>
      </w:tcPr>
    </w:tblStylePr>
    <w:tblStylePr w:type="neCell">
      <w:tblPr/>
      <w:tcPr>
        <w:tc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il"/>
          <w:insideV w:val="nil"/>
          <w:tl2br w:val="nil"/>
          <w:tr2bl w:val="nil"/>
        </w:tcBorders>
      </w:tcPr>
    </w:tblStylePr>
    <w:tblStylePr w:type="nwCell">
      <w:tblPr/>
      <w:tcPr>
        <w:tc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il"/>
          <w:insideV w:val="nil"/>
          <w:tl2br w:val="nil"/>
          <w:tr2bl w:val="nil"/>
        </w:tcBorders>
      </w:tcPr>
    </w:tblStylePr>
    <w:tblStylePr w:type="seCell">
      <w:tblPr/>
      <w:tcPr>
        <w:tc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il"/>
          <w:insideV w:val="nil"/>
          <w:tl2br w:val="nil"/>
          <w:tr2bl w:val="nil"/>
        </w:tcBorders>
      </w:tcPr>
    </w:tblStylePr>
    <w:tblStylePr w:type="swCell">
      <w:tblPr/>
      <w:tcPr>
        <w:tc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62066">
      <w:bodyDiv w:val="1"/>
      <w:marLeft w:val="0"/>
      <w:marRight w:val="0"/>
      <w:marTop w:val="0"/>
      <w:marBottom w:val="0"/>
      <w:divBdr>
        <w:top w:val="none" w:sz="0" w:space="0" w:color="auto"/>
        <w:left w:val="none" w:sz="0" w:space="0" w:color="auto"/>
        <w:bottom w:val="none" w:sz="0" w:space="0" w:color="auto"/>
        <w:right w:val="none" w:sz="0" w:space="0" w:color="auto"/>
      </w:divBdr>
    </w:div>
    <w:div w:id="62265798">
      <w:bodyDiv w:val="1"/>
      <w:marLeft w:val="0"/>
      <w:marRight w:val="0"/>
      <w:marTop w:val="0"/>
      <w:marBottom w:val="0"/>
      <w:divBdr>
        <w:top w:val="none" w:sz="0" w:space="0" w:color="auto"/>
        <w:left w:val="none" w:sz="0" w:space="0" w:color="auto"/>
        <w:bottom w:val="none" w:sz="0" w:space="0" w:color="auto"/>
        <w:right w:val="none" w:sz="0" w:space="0" w:color="auto"/>
      </w:divBdr>
    </w:div>
    <w:div w:id="146827682">
      <w:bodyDiv w:val="1"/>
      <w:marLeft w:val="0"/>
      <w:marRight w:val="0"/>
      <w:marTop w:val="0"/>
      <w:marBottom w:val="0"/>
      <w:divBdr>
        <w:top w:val="none" w:sz="0" w:space="0" w:color="auto"/>
        <w:left w:val="none" w:sz="0" w:space="0" w:color="auto"/>
        <w:bottom w:val="none" w:sz="0" w:space="0" w:color="auto"/>
        <w:right w:val="none" w:sz="0" w:space="0" w:color="auto"/>
      </w:divBdr>
    </w:div>
    <w:div w:id="653074210">
      <w:bodyDiv w:val="1"/>
      <w:marLeft w:val="0"/>
      <w:marRight w:val="0"/>
      <w:marTop w:val="0"/>
      <w:marBottom w:val="0"/>
      <w:divBdr>
        <w:top w:val="none" w:sz="0" w:space="0" w:color="auto"/>
        <w:left w:val="none" w:sz="0" w:space="0" w:color="auto"/>
        <w:bottom w:val="none" w:sz="0" w:space="0" w:color="auto"/>
        <w:right w:val="none" w:sz="0" w:space="0" w:color="auto"/>
      </w:divBdr>
    </w:div>
    <w:div w:id="1456825654">
      <w:bodyDiv w:val="1"/>
      <w:marLeft w:val="0"/>
      <w:marRight w:val="0"/>
      <w:marTop w:val="0"/>
      <w:marBottom w:val="0"/>
      <w:divBdr>
        <w:top w:val="none" w:sz="0" w:space="0" w:color="auto"/>
        <w:left w:val="none" w:sz="0" w:space="0" w:color="auto"/>
        <w:bottom w:val="none" w:sz="0" w:space="0" w:color="auto"/>
        <w:right w:val="none" w:sz="0" w:space="0" w:color="auto"/>
      </w:divBdr>
    </w:div>
    <w:div w:id="1564174539">
      <w:bodyDiv w:val="1"/>
      <w:marLeft w:val="0"/>
      <w:marRight w:val="0"/>
      <w:marTop w:val="0"/>
      <w:marBottom w:val="0"/>
      <w:divBdr>
        <w:top w:val="none" w:sz="0" w:space="0" w:color="auto"/>
        <w:left w:val="none" w:sz="0" w:space="0" w:color="auto"/>
        <w:bottom w:val="none" w:sz="0" w:space="0" w:color="auto"/>
        <w:right w:val="none" w:sz="0" w:space="0" w:color="auto"/>
      </w:divBdr>
    </w:div>
    <w:div w:id="156953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odc.org/corruption/en/cosp/conference/session10-resolutions.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3" Type="http://schemas.openxmlformats.org/officeDocument/2006/relationships/hyperlink" Target="https://www.transparency.org/en/corruptionary/petty-corruption" TargetMode="External"/><Relationship Id="rId18" Type="http://schemas.openxmlformats.org/officeDocument/2006/relationships/hyperlink" Target="https://www.ibanet.org/MediaHandler?id=E5E451C2-A883-4518-B0ED-5AAAEBCDD5AA" TargetMode="External"/><Relationship Id="rId26" Type="http://schemas.openxmlformats.org/officeDocument/2006/relationships/hyperlink" Target="https://knowledgehub.transparency.org/helpdesk/corruption-and-marginalisation" TargetMode="External"/><Relationship Id="rId39" Type="http://schemas.openxmlformats.org/officeDocument/2006/relationships/hyperlink" Target="https://www.unodc.org/documents/data-and-analysis/Forum/Forum_2025/ForumCrimeSociety_Vol11_Chapter1.pdf" TargetMode="External"/><Relationship Id="rId21" Type="http://schemas.openxmlformats.org/officeDocument/2006/relationships/hyperlink" Target="https://images.transparencycdn.org/images/Report-LeftBehind-Corruption-in-Africa.pdf" TargetMode="External"/><Relationship Id="rId34" Type="http://schemas.openxmlformats.org/officeDocument/2006/relationships/hyperlink" Target="https://onlinelibrary.wiley.com/doi/10.1111/gwao.13142" TargetMode="External"/><Relationship Id="rId42" Type="http://schemas.openxmlformats.org/officeDocument/2006/relationships/hyperlink" Target="https://knowledgehub.transparency.org/assets/uploads/helpdesk/The-impact-of-corruption-on-women-and-their-role-in-preventing-corruption_Final.pdf" TargetMode="External"/><Relationship Id="rId47" Type="http://schemas.openxmlformats.org/officeDocument/2006/relationships/hyperlink" Target="https://www.ibanet.org/MediaHandler?id=E5E451C2-A883-4518-B0ED-5AAAEBCDD5AA" TargetMode="External"/><Relationship Id="rId50" Type="http://schemas.openxmlformats.org/officeDocument/2006/relationships/hyperlink" Target="https://www.unodc.org/pdf/crime/publications/corruption_criminal_law.pdf" TargetMode="External"/><Relationship Id="rId55" Type="http://schemas.openxmlformats.org/officeDocument/2006/relationships/hyperlink" Target="https://files.transparencycdn.org/images/Report-Corruption-through-a-gendered-lens-November-23.pdf" TargetMode="External"/><Relationship Id="rId7" Type="http://schemas.openxmlformats.org/officeDocument/2006/relationships/hyperlink" Target="https://images.transparencycdn.org/images/2020_Report_BreakingSilenceAroundSextortion_English.pdf" TargetMode="External"/><Relationship Id="rId2" Type="http://schemas.openxmlformats.org/officeDocument/2006/relationships/hyperlink" Target="https://uncaccoalition.org/get-involved/working-groups/gender-inclusion-corruption/" TargetMode="External"/><Relationship Id="rId16" Type="http://schemas.openxmlformats.org/officeDocument/2006/relationships/hyperlink" Target="https://www.unodc.org/res/ji/import/guide/naming_shaming_ending_sextortion/naming_shaming_ending_sextortion.pdf" TargetMode="External"/><Relationship Id="rId29" Type="http://schemas.openxmlformats.org/officeDocument/2006/relationships/hyperlink" Target="https://uncaccoalition.org/sexual-corruption-database/" TargetMode="External"/><Relationship Id="rId11" Type="http://schemas.openxmlformats.org/officeDocument/2006/relationships/hyperlink" Target="https://knowledgehub.transparency.org/assets/uploads/kproducts/Criminalising-sextortion_final_10.06.2022.pdf" TargetMode="External"/><Relationship Id="rId24" Type="http://schemas.openxmlformats.org/officeDocument/2006/relationships/hyperlink" Target="https://dksk.mk/wp-content/uploads/2022/03/Sextortion_EN_WEB_NEW-FINAL.pdf" TargetMode="External"/><Relationship Id="rId32" Type="http://schemas.openxmlformats.org/officeDocument/2006/relationships/hyperlink" Target="https://www.unodc.org/documents/corruption/Publications/2020/THE_TIME_IS_NOW_2020_12_08.pdf" TargetMode="External"/><Relationship Id="rId37" Type="http://schemas.openxmlformats.org/officeDocument/2006/relationships/hyperlink" Target="https://www.unodc.org/documents/data-and-analysis/Forum/Forum_2025/ForumCrimeSociety_Vol11_Chapter1.pdf" TargetMode="External"/><Relationship Id="rId40" Type="http://schemas.openxmlformats.org/officeDocument/2006/relationships/hyperlink" Target="https://www.u4.no/blog/sexual-corruption-is-abuse-of-power-and-theres-more-to-it-than-sextortion-alone" TargetMode="External"/><Relationship Id="rId45" Type="http://schemas.openxmlformats.org/officeDocument/2006/relationships/hyperlink" Target="https://eba.se/rapporter/implementing-policy-against-sextortion-in-tanzania-a-follow-up-study/20143/" TargetMode="External"/><Relationship Id="rId53" Type="http://schemas.openxmlformats.org/officeDocument/2006/relationships/hyperlink" Target="https://www.unodc.org/documents/data-and-analysis/Forum/Forum_2025/ForumCrimeSociety_Vol11_Chapter1.pdf" TargetMode="External"/><Relationship Id="rId5" Type="http://schemas.openxmlformats.org/officeDocument/2006/relationships/hyperlink" Target="https://www.transparency.org/en/gcb" TargetMode="External"/><Relationship Id="rId10" Type="http://schemas.openxmlformats.org/officeDocument/2006/relationships/hyperlink" Target="https://knowledgehub.transparency.org/assets/uploads/kproducts/Criminalising-sextortion_final_10.06.2022.pdf" TargetMode="External"/><Relationship Id="rId19" Type="http://schemas.openxmlformats.org/officeDocument/2006/relationships/hyperlink" Target="https://www.frontiersin.org/journals/water/articles/10.3389/frwa.2023.1048594/fulL" TargetMode="External"/><Relationship Id="rId31" Type="http://schemas.openxmlformats.org/officeDocument/2006/relationships/hyperlink" Target="https://www.bsg.ox.ac.uk/sites/default/files/2024-05/The%20Chandler%20Papers%20%E2%80%93%20Sexual%20corruption.pdf" TargetMode="External"/><Relationship Id="rId44" Type="http://schemas.openxmlformats.org/officeDocument/2006/relationships/hyperlink" Target="https://www.unodc.org/documents/treaties/UNCAC/COSP/session8/V1911814e.pdf" TargetMode="External"/><Relationship Id="rId52" Type="http://schemas.openxmlformats.org/officeDocument/2006/relationships/hyperlink" Target="https://www.unodc.org/documents/brussels/UN_Convention_Against_Corruption.pdf" TargetMode="External"/><Relationship Id="rId4" Type="http://schemas.openxmlformats.org/officeDocument/2006/relationships/hyperlink" Target="https://www.unodc.org/documents/data-and-analysis/Forum/Forum_2025/ForumCrimeSociety_Vol11_Chapter1.pdf" TargetMode="External"/><Relationship Id="rId9" Type="http://schemas.openxmlformats.org/officeDocument/2006/relationships/hyperlink" Target="https://www.gu.se/sites/default/files/2021-12/2021_10_Sundstrom_Wangnerud.pdf" TargetMode="External"/><Relationship Id="rId14" Type="http://schemas.openxmlformats.org/officeDocument/2006/relationships/hyperlink" Target="https://files.transparencycdn.org/images/TI-ERT_Defying-Exclusion_web-accessible-v2.pdf" TargetMode="External"/><Relationship Id="rId22" Type="http://schemas.openxmlformats.org/officeDocument/2006/relationships/hyperlink" Target="https://eba.se/rapporter/implementing-policy-against-sextortion-in-tanzania-a-follow-up-study/20143/" TargetMode="External"/><Relationship Id="rId27" Type="http://schemas.openxmlformats.org/officeDocument/2006/relationships/hyperlink" Target="https://www.unodc.org/documents/corruption/Publications/2020/THE_TIME_IS_NOW_2020_12_08.pdf" TargetMode="External"/><Relationship Id="rId30" Type="http://schemas.openxmlformats.org/officeDocument/2006/relationships/hyperlink" Target="https://www.unodc.org/res/ji/import/guide/naming_shaming_ending_sextortion/naming_shaming_ending_sextortion.pdf" TargetMode="External"/><Relationship Id="rId35" Type="http://schemas.openxmlformats.org/officeDocument/2006/relationships/hyperlink" Target="https://bristoluniversitypressdigital.com/display/book/9781447366546/ch010.xml" TargetMode="External"/><Relationship Id="rId43" Type="http://schemas.openxmlformats.org/officeDocument/2006/relationships/hyperlink" Target="https://www.unodc.org/documents/treaties/UNCAC/COSP/session10/resolutions/L-documents/2325384E_L.14_Rev.1.pdf" TargetMode="External"/><Relationship Id="rId48" Type="http://schemas.openxmlformats.org/officeDocument/2006/relationships/hyperlink" Target="https://images.transparencycdn.org/images/2021_FindingVoiceSeekingJustice_PositionPaper_Eng.pdf" TargetMode="External"/><Relationship Id="rId8" Type="http://schemas.openxmlformats.org/officeDocument/2006/relationships/hyperlink" Target="https://images.transparencycdn.org/images/2021_FindingVoiceSeekingJustice_PositionPaper_Eng.pdf" TargetMode="External"/><Relationship Id="rId51" Type="http://schemas.openxmlformats.org/officeDocument/2006/relationships/hyperlink" Target="https://www.unodc.org/documents/treaties/UNCAC/WorkingGroups/ImplementationReviewGroup/16-18November2020/V2006560e.pdf" TargetMode="External"/><Relationship Id="rId3" Type="http://schemas.openxmlformats.org/officeDocument/2006/relationships/hyperlink" Target="https://www.unodc.org/documents/treaties/UNCAC/COSP/session10/NGO/CAC-COSP-2023-NGO31.pdf" TargetMode="External"/><Relationship Id="rId12" Type="http://schemas.openxmlformats.org/officeDocument/2006/relationships/hyperlink" Target="https://www.transparency.org/en/corruptionary/petty-corruption" TargetMode="External"/><Relationship Id="rId17" Type="http://schemas.openxmlformats.org/officeDocument/2006/relationships/hyperlink" Target="https://www.tandfonline.com/doi/full/10.1080/0305764X.2010.549453" TargetMode="External"/><Relationship Id="rId25" Type="http://schemas.openxmlformats.org/officeDocument/2006/relationships/hyperlink" Target="https://knowledgehub.transparency.org/assets/uploads/kproducts/Criminalising-sextortion_final_10.06.2022.pdf" TargetMode="External"/><Relationship Id="rId33" Type="http://schemas.openxmlformats.org/officeDocument/2006/relationships/hyperlink" Target="https://www.u4.no/blog/getting-the-law-on-sexual-corruption-right-why-a-do-no-harm-approach-is-essential" TargetMode="External"/><Relationship Id="rId38" Type="http://schemas.openxmlformats.org/officeDocument/2006/relationships/hyperlink" Target="https://www.ibanet.org/MediaHandler?id=E5E451C2-A883-4518-B0ED-5AAAEBCDD5AA" TargetMode="External"/><Relationship Id="rId46" Type="http://schemas.openxmlformats.org/officeDocument/2006/relationships/hyperlink" Target="https://www.nps.go.tz/uploads/documents/sw-1751370175-The%20Prevention%20and%20Combating%20of%20Corruption%20Act.pdf" TargetMode="External"/><Relationship Id="rId20" Type="http://schemas.openxmlformats.org/officeDocument/2006/relationships/hyperlink" Target="https://cejsrilanka.org/wp-content/uploads/Eng_Briefing-Paper_Sinhala_Sexual-Bribery-of-Military-Widows_Eng.pdf" TargetMode="External"/><Relationship Id="rId41" Type="http://schemas.openxmlformats.org/officeDocument/2006/relationships/hyperlink" Target="https://www.unodc.org/documents/data-and-analysis/Forum/Forum_2025/ForumCrimeSociety_Vol11_Chapter1.pdf" TargetMode="External"/><Relationship Id="rId54" Type="http://schemas.openxmlformats.org/officeDocument/2006/relationships/hyperlink" Target="https://timby.org/2023/04/24/Using-Timby-to-Fight-Sextortion-in-Nigerian-Universities.html" TargetMode="External"/><Relationship Id="rId1" Type="http://schemas.openxmlformats.org/officeDocument/2006/relationships/hyperlink" Target="https://uncaccoalition.org/get-involved/working-groups/gender-inclusion-corruption/" TargetMode="External"/><Relationship Id="rId6" Type="http://schemas.openxmlformats.org/officeDocument/2006/relationships/hyperlink" Target="https://www.transparency.org/en/gcb" TargetMode="External"/><Relationship Id="rId15" Type="http://schemas.openxmlformats.org/officeDocument/2006/relationships/hyperlink" Target="https://i.unu.edu/media/migration.unu.edu/attachment/4665/A-Gender-Perspective-on-Corruption-Encountered-during-Forced-and-Irregular-Migration.pdf" TargetMode="External"/><Relationship Id="rId23" Type="http://schemas.openxmlformats.org/officeDocument/2006/relationships/hyperlink" Target="https://www.unodc.org/documents/treaties/UNCAC/COSP/session8/V1911814e.pdf" TargetMode="External"/><Relationship Id="rId28" Type="http://schemas.openxmlformats.org/officeDocument/2006/relationships/hyperlink" Target="https://www.unodc.org/documents/data-and-analysis/Forum/Forum_2025/ForumCrimeSociety_Vol11_Chapter1.pdf" TargetMode="External"/><Relationship Id="rId36" Type="http://schemas.openxmlformats.org/officeDocument/2006/relationships/hyperlink" Target="https://images.transparencycdn.org/images/2020_Report_BreakingSilenceAroundSextortion_English.pdf" TargetMode="External"/><Relationship Id="rId49" Type="http://schemas.openxmlformats.org/officeDocument/2006/relationships/hyperlink" Target="https://www.unodc.org/documents/data-and-analysis/Forum/Forum_2025/ForumCrimeSociety_Vol11_Chapter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uncaccoalition/Downloads/UNCAC%20Coalition%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2085621834B7D43979B74154BC49213"/>
        <w:category>
          <w:name w:val="General"/>
          <w:gallery w:val="placeholder"/>
        </w:category>
        <w:types>
          <w:type w:val="bbPlcHdr"/>
        </w:types>
        <w:behaviors>
          <w:behavior w:val="content"/>
        </w:behaviors>
        <w:guid w:val="{51382640-B301-0D42-B061-5163326EBBB4}"/>
      </w:docPartPr>
      <w:docPartBody>
        <w:p w:rsidR="00043C6D" w:rsidRDefault="00000000">
          <w:pPr>
            <w:pStyle w:val="42085621834B7D43979B74154BC49213"/>
          </w:pPr>
          <w:r w:rsidRPr="00C53D2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w:panose1 w:val="020B0502040504020204"/>
    <w:charset w:val="00"/>
    <w:family w:val="swiss"/>
    <w:pitch w:val="variable"/>
    <w:sig w:usb0="E00082FF" w:usb1="400078FF" w:usb2="00000021" w:usb3="00000000" w:csb0="0000019F" w:csb1="00000000"/>
  </w:font>
  <w:font w:name="Inter">
    <w:altName w:val="Calibri"/>
    <w:panose1 w:val="020B0604020202020204"/>
    <w:charset w:val="00"/>
    <w:family w:val="auto"/>
    <w:pitch w:val="default"/>
  </w:font>
  <w:font w:name="Lexend">
    <w:altName w:val="Calibri"/>
    <w:panose1 w:val="020B0604020202020204"/>
    <w:charset w:val="00"/>
    <w:family w:val="auto"/>
    <w:pitch w:val="default"/>
  </w:font>
  <w:font w:name="Arial Narrow">
    <w:panose1 w:val="020B0606020202030204"/>
    <w:charset w:val="00"/>
    <w:family w:val="swiss"/>
    <w:pitch w:val="variable"/>
    <w:sig w:usb0="00000287" w:usb1="00000800" w:usb2="00000000" w:usb3="00000000" w:csb0="0000009F" w:csb1="00000000"/>
  </w:font>
  <w:font w:name="Source Code Pro">
    <w:panose1 w:val="020B0509030403020204"/>
    <w:charset w:val="00"/>
    <w:family w:val="modern"/>
    <w:pitch w:val="fixed"/>
    <w:sig w:usb0="200002F7" w:usb1="02003803"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093"/>
    <w:rsid w:val="00043C6D"/>
    <w:rsid w:val="000D01A1"/>
    <w:rsid w:val="001F6A68"/>
    <w:rsid w:val="0036439A"/>
    <w:rsid w:val="003D5093"/>
    <w:rsid w:val="004C76FA"/>
    <w:rsid w:val="008D1132"/>
    <w:rsid w:val="00A13CDA"/>
    <w:rsid w:val="00A84359"/>
    <w:rsid w:val="00C5542C"/>
    <w:rsid w:val="00C70093"/>
    <w:rsid w:val="00CC103F"/>
    <w:rsid w:val="00D92CB0"/>
    <w:rsid w:val="00FC52BA"/>
  </w:rsids>
  <m:mathPr>
    <m:mathFont m:val="Cambria Math"/>
    <m:brkBin m:val="before"/>
    <m:brkBinSub m:val="--"/>
    <m:smallFrac m:val="0"/>
    <m:dispDef/>
    <m:lMargin m:val="0"/>
    <m:rMargin m:val="0"/>
    <m:defJc m:val="centerGroup"/>
    <m:wrapIndent m:val="1440"/>
    <m:intLim m:val="subSup"/>
    <m:naryLim m:val="undOvr"/>
  </m:mathPr>
  <w:themeFontLang w:val="en-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T"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2085621834B7D43979B74154BC49213">
    <w:name w:val="42085621834B7D43979B74154BC492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UNCAC Coalition">
      <a:dk1>
        <a:srgbClr val="000000"/>
      </a:dk1>
      <a:lt1>
        <a:srgbClr val="FFFFFF"/>
      </a:lt1>
      <a:dk2>
        <a:srgbClr val="870034"/>
      </a:dk2>
      <a:lt2>
        <a:srgbClr val="F0EDE8"/>
      </a:lt2>
      <a:accent1>
        <a:srgbClr val="AD003D"/>
      </a:accent1>
      <a:accent2>
        <a:srgbClr val="5E3482"/>
      </a:accent2>
      <a:accent3>
        <a:srgbClr val="00639C"/>
      </a:accent3>
      <a:accent4>
        <a:srgbClr val="00A48B"/>
      </a:accent4>
      <a:accent5>
        <a:srgbClr val="0F8852"/>
      </a:accent5>
      <a:accent6>
        <a:srgbClr val="EB912D"/>
      </a:accent6>
      <a:hlink>
        <a:srgbClr val="0D5A4A"/>
      </a:hlink>
      <a:folHlink>
        <a:srgbClr val="0D5A4A"/>
      </a:folHlink>
    </a:clrScheme>
    <a:fontScheme name="UNCAC Coalition">
      <a:majorFont>
        <a:latin typeface="Lexend"/>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NewSourcePlace</b:Tag>
    <b:RefOrder>2</b:RefOrder>
  </b:Source>
  <b:Source>
    <b:Tag>Hub15</b:Tag>
    <b:SourceType>Report</b:SourceType>
    <b:Guid>{55FA7666-08F4-4CEF-9631-D8E21642403B}</b:Guid>
    <b:Title>2015 Social Media Benchmarks Report</b:Title>
    <b:Year>2015</b:Year>
    <b:Author>
      <b:Author>
        <b:Corporate>Hubspot</b:Corporate>
      </b:Author>
    </b:Author>
    <b:Publisher>Hubspot</b:Publisher>
    <b:City>Cambridge, MA</b:City>
    <b:RefOrder>1</b:RefOrder>
  </b:Source>
</b:Sources>
</file>

<file path=customXml/itemProps1.xml><?xml version="1.0" encoding="utf-8"?>
<ds:datastoreItem xmlns:ds="http://schemas.openxmlformats.org/officeDocument/2006/customXml" ds:itemID="{6F4B1456-1542-41DE-81C2-C03E8BFE3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UNCAC Coalition (1).dotx</Template>
  <TotalTime>57</TotalTime>
  <Pages>9</Pages>
  <Words>1354</Words>
  <Characters>9114</Characters>
  <Application>Microsoft Office Word</Application>
  <DocSecurity>0</DocSecurity>
  <Lines>147</Lines>
  <Paragraphs>50</Paragraphs>
  <ScaleCrop>false</ScaleCrop>
  <HeadingPairs>
    <vt:vector size="2" baseType="variant">
      <vt:variant>
        <vt:lpstr>Title</vt:lpstr>
      </vt:variant>
      <vt:variant>
        <vt:i4>1</vt:i4>
      </vt:variant>
    </vt:vector>
  </HeadingPairs>
  <TitlesOfParts>
    <vt:vector size="1" baseType="lpstr">
      <vt:lpstr>Transparency in Asset Recovery</vt:lpstr>
    </vt:vector>
  </TitlesOfParts>
  <Company>UNCAC Coalition</Company>
  <LinksUpToDate>false</LinksUpToDate>
  <CharactersWithSpaces>10418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Advancing Resolution 10/10 by Addressing Sexual Corruption: Understanding and Enforcement</dc:title>
  <dc:subject/>
  <dc:creator>Miguel Rodrigues</dc:creator>
  <cp:keywords/>
  <dc:description/>
  <cp:lastModifiedBy>Isabella Moggs</cp:lastModifiedBy>
  <cp:revision>23</cp:revision>
  <dcterms:created xsi:type="dcterms:W3CDTF">2025-11-19T09:14:00Z</dcterms:created>
  <dcterms:modified xsi:type="dcterms:W3CDTF">2025-11-21T11:08:00Z</dcterms:modified>
</cp:coreProperties>
</file>