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37DC" w14:textId="44CFF4B8" w:rsidR="0024649C" w:rsidRPr="003F4B7C" w:rsidRDefault="00000000" w:rsidP="00BC2368">
      <w:pPr>
        <w:pStyle w:val="Title"/>
        <w:spacing w:after="0"/>
        <w:jc w:val="center"/>
        <w:rPr>
          <w:b/>
          <w:bCs/>
          <w:sz w:val="28"/>
          <w:szCs w:val="28"/>
          <w:lang w:val="en-US"/>
        </w:rPr>
      </w:pPr>
      <w:sdt>
        <w:sdtPr>
          <w:rPr>
            <w:b/>
            <w:bCs/>
            <w:sz w:val="28"/>
            <w:szCs w:val="28"/>
            <w:lang w:val="en-US"/>
          </w:rPr>
          <w:alias w:val="Title"/>
          <w:tag w:val=""/>
          <w:id w:val="-887490816"/>
          <w:placeholder>
            <w:docPart w:val="42085621834B7D43979B74154BC49213"/>
          </w:placeholder>
          <w:dataBinding w:prefixMappings="xmlns:ns0='http://purl.org/dc/elements/1.1/' xmlns:ns1='http://schemas.openxmlformats.org/package/2006/metadata/core-properties' " w:xpath="/ns1:coreProperties[1]/ns0:title[1]" w:storeItemID="{6C3C8BC8-F283-45AE-878A-BAB7291924A1}"/>
          <w:text/>
        </w:sdtPr>
        <w:sdtContent>
          <w:r w:rsidR="00E43B54" w:rsidRPr="003F4B7C">
            <w:rPr>
              <w:b/>
              <w:bCs/>
              <w:sz w:val="28"/>
              <w:szCs w:val="28"/>
              <w:lang w:val="en-US"/>
            </w:rPr>
            <w:t>Gender Mainstreaming in Anti-Corruption Efforts</w:t>
          </w:r>
        </w:sdtContent>
      </w:sdt>
      <w:r w:rsidR="00E43B54" w:rsidRPr="003F4B7C">
        <w:rPr>
          <w:b/>
          <w:bCs/>
          <w:sz w:val="28"/>
          <w:szCs w:val="28"/>
          <w:lang w:val="en-US"/>
        </w:rPr>
        <w:t xml:space="preserve"> </w:t>
      </w:r>
    </w:p>
    <w:p w14:paraId="072F4047" w14:textId="77777777" w:rsidR="00BC2368" w:rsidRPr="00E43B54" w:rsidRDefault="00BC2368" w:rsidP="00BC2368">
      <w:pPr>
        <w:pStyle w:val="Subtitle"/>
        <w:spacing w:before="0" w:after="0"/>
        <w:jc w:val="center"/>
        <w:rPr>
          <w:lang w:val="en-US"/>
        </w:rPr>
      </w:pPr>
    </w:p>
    <w:p w14:paraId="29D5EC5B" w14:textId="269016AD" w:rsidR="00BC2368" w:rsidRPr="00E43B54" w:rsidRDefault="00BC2368" w:rsidP="00041907">
      <w:pPr>
        <w:pStyle w:val="Subtitle"/>
        <w:spacing w:before="0" w:after="0"/>
        <w:jc w:val="center"/>
        <w:rPr>
          <w:lang w:val="en-US"/>
        </w:rPr>
      </w:pPr>
      <w:r w:rsidRPr="00E43B54">
        <w:rPr>
          <w:lang w:val="en-US"/>
        </w:rPr>
        <w:t xml:space="preserve">Submission by </w:t>
      </w:r>
      <w:r w:rsidR="00E43B54" w:rsidRPr="00E43B54">
        <w:rPr>
          <w:lang w:val="en-US"/>
        </w:rPr>
        <w:t>the Global Civil Society Coalition for the UNCAC Working Group on Gender, Inclusion and Corruption</w:t>
      </w:r>
      <w:r w:rsidRPr="00E43B54">
        <w:rPr>
          <w:vertAlign w:val="superscript"/>
          <w:lang w:val="en-US"/>
        </w:rPr>
        <w:footnoteReference w:id="1"/>
      </w:r>
    </w:p>
    <w:p w14:paraId="39A302F8" w14:textId="77777777" w:rsidR="00041907" w:rsidRPr="00E43B54" w:rsidRDefault="00041907" w:rsidP="00041907">
      <w:pPr>
        <w:spacing w:after="0"/>
        <w:rPr>
          <w:lang w:val="en-US"/>
        </w:rPr>
      </w:pPr>
    </w:p>
    <w:p w14:paraId="37D3C9C4" w14:textId="233139C8" w:rsidR="008D52FF" w:rsidRPr="003F4B7C" w:rsidRDefault="0064600C" w:rsidP="00BC2368">
      <w:pPr>
        <w:pStyle w:val="Subtitle"/>
        <w:spacing w:before="0" w:after="0"/>
        <w:jc w:val="center"/>
        <w:rPr>
          <w:b/>
          <w:bCs/>
          <w:sz w:val="26"/>
          <w:szCs w:val="24"/>
          <w:lang w:val="en-US"/>
        </w:rPr>
      </w:pPr>
      <w:r w:rsidRPr="003F4B7C">
        <w:rPr>
          <w:b/>
          <w:bCs/>
          <w:sz w:val="26"/>
          <w:szCs w:val="24"/>
          <w:lang w:val="en-US"/>
        </w:rPr>
        <w:t>1</w:t>
      </w:r>
      <w:r w:rsidR="00BC2368" w:rsidRPr="003F4B7C">
        <w:rPr>
          <w:b/>
          <w:bCs/>
          <w:sz w:val="26"/>
          <w:szCs w:val="24"/>
          <w:lang w:val="en-US"/>
        </w:rPr>
        <w:t>9</w:t>
      </w:r>
      <w:r w:rsidR="008D52FF" w:rsidRPr="003F4B7C">
        <w:rPr>
          <w:b/>
          <w:bCs/>
          <w:sz w:val="26"/>
          <w:szCs w:val="24"/>
          <w:lang w:val="en-US"/>
        </w:rPr>
        <w:t xml:space="preserve"> </w:t>
      </w:r>
      <w:r w:rsidRPr="003F4B7C">
        <w:rPr>
          <w:b/>
          <w:bCs/>
          <w:sz w:val="26"/>
          <w:szCs w:val="24"/>
          <w:lang w:val="en-US"/>
        </w:rPr>
        <w:t>Nov</w:t>
      </w:r>
      <w:r w:rsidR="008D52FF" w:rsidRPr="003F4B7C">
        <w:rPr>
          <w:b/>
          <w:bCs/>
          <w:sz w:val="26"/>
          <w:szCs w:val="24"/>
          <w:lang w:val="en-US"/>
        </w:rPr>
        <w:t>ember 2025</w:t>
      </w:r>
    </w:p>
    <w:p w14:paraId="406EFA75" w14:textId="36540400" w:rsidR="00E43B54" w:rsidRPr="000A4D29" w:rsidRDefault="00E43B54" w:rsidP="00E43B54">
      <w:pPr>
        <w:spacing w:before="240" w:after="0"/>
        <w:jc w:val="both"/>
        <w:rPr>
          <w:rFonts w:ascii="Inter" w:eastAsia="Inter" w:hAnsi="Inter" w:cs="Inter"/>
          <w:sz w:val="24"/>
          <w:szCs w:val="24"/>
          <w:lang w:val="en-US"/>
        </w:rPr>
      </w:pPr>
      <w:r w:rsidRPr="000A4D29">
        <w:rPr>
          <w:rFonts w:ascii="Inter" w:eastAsia="Inter" w:hAnsi="Inter" w:cs="Inter"/>
          <w:sz w:val="24"/>
          <w:szCs w:val="24"/>
          <w:lang w:val="en-US"/>
        </w:rPr>
        <w:t>Gender mainstreaming - integrating a gender equality perspective into all policies, programs, and institutions - has been a central strategy for advancing women’s and men’s equality over the past 30 years. Since its endorsement in the 1995 Beijing Platform for Action, this approach has been widely adopted by governments, international agencies, and civil society organisations.</w:t>
      </w:r>
      <w:r w:rsidRPr="000A4D29">
        <w:rPr>
          <w:rFonts w:ascii="Inter" w:eastAsia="Inter" w:hAnsi="Inter" w:cs="Inter"/>
          <w:sz w:val="24"/>
          <w:szCs w:val="24"/>
          <w:vertAlign w:val="superscript"/>
          <w:lang w:val="en-US"/>
        </w:rPr>
        <w:footnoteReference w:id="2"/>
      </w:r>
      <w:r w:rsidRPr="000A4D29">
        <w:rPr>
          <w:rFonts w:ascii="Inter" w:eastAsia="Inter" w:hAnsi="Inter" w:cs="Inter"/>
          <w:sz w:val="24"/>
          <w:szCs w:val="24"/>
          <w:lang w:val="en-US"/>
        </w:rPr>
        <w:t xml:space="preserve"> Despite challenges, gender mainstreaming has led to important achievements, including the creation of planning frameworks, gender analysis tools, training curricula, and guidelines that help integrate gender considerations across diverse sectors.</w:t>
      </w:r>
      <w:r w:rsidRPr="000A4D29">
        <w:rPr>
          <w:rFonts w:ascii="Inter" w:eastAsia="Inter" w:hAnsi="Inter" w:cs="Inter"/>
          <w:sz w:val="24"/>
          <w:szCs w:val="24"/>
          <w:vertAlign w:val="superscript"/>
          <w:lang w:val="en-US"/>
        </w:rPr>
        <w:footnoteReference w:id="3"/>
      </w:r>
    </w:p>
    <w:p w14:paraId="23FDB8B4" w14:textId="71F943D1" w:rsidR="005D3342" w:rsidRDefault="00E43B54" w:rsidP="00E43B54">
      <w:pPr>
        <w:spacing w:before="240" w:after="0"/>
        <w:jc w:val="both"/>
        <w:rPr>
          <w:rFonts w:ascii="Inter" w:eastAsia="Inter" w:hAnsi="Inter" w:cs="Inter"/>
          <w:sz w:val="24"/>
          <w:szCs w:val="24"/>
          <w:lang w:val="en-US"/>
        </w:rPr>
      </w:pPr>
      <w:r w:rsidRPr="000A4D29">
        <w:rPr>
          <w:rFonts w:ascii="Inter" w:eastAsia="Inter" w:hAnsi="Inter" w:cs="Inter"/>
          <w:sz w:val="24"/>
          <w:szCs w:val="24"/>
          <w:lang w:val="en-US"/>
        </w:rPr>
        <w:t xml:space="preserve">However, the systematic integration of gender perspectives into anti-corruption efforts remains limited. While the United Nations Convention Against Corruption (UNCAC) was not drafted with a gender perspective in mind, some countries have attempted to incorporate it into anti-corruption institutions, policies, and activities. Yet, such initiatives are fragmented and remain sparse in 2025. </w:t>
      </w:r>
      <w:r w:rsidR="005D3342">
        <w:rPr>
          <w:rFonts w:ascii="Inter" w:eastAsia="Inter" w:hAnsi="Inter" w:cs="Inter"/>
          <w:sz w:val="24"/>
          <w:szCs w:val="24"/>
          <w:lang w:val="en-US"/>
        </w:rPr>
        <w:t>C</w:t>
      </w:r>
      <w:r w:rsidRPr="000A4D29">
        <w:rPr>
          <w:rFonts w:ascii="Inter" w:eastAsia="Inter" w:hAnsi="Inter" w:cs="Inter"/>
          <w:sz w:val="24"/>
          <w:szCs w:val="24"/>
          <w:lang w:val="en-US"/>
        </w:rPr>
        <w:t>orruption is a key factor in the global gender equality gap, disproportionately affecting women</w:t>
      </w:r>
      <w:r w:rsidRPr="000A4D29">
        <w:rPr>
          <w:rFonts w:ascii="Inter" w:eastAsia="Inter" w:hAnsi="Inter" w:cs="Inter"/>
          <w:sz w:val="24"/>
          <w:szCs w:val="24"/>
          <w:vertAlign w:val="superscript"/>
          <w:lang w:val="en-US"/>
        </w:rPr>
        <w:footnoteReference w:id="4"/>
      </w:r>
      <w:r w:rsidRPr="000A4D29">
        <w:rPr>
          <w:rFonts w:ascii="Inter" w:eastAsia="Inter" w:hAnsi="Inter" w:cs="Inter"/>
          <w:sz w:val="24"/>
          <w:szCs w:val="24"/>
          <w:lang w:val="en-US"/>
        </w:rPr>
        <w:t xml:space="preserve"> and marginalized groups, limiting access to essential services, economic opportunities, and political representation</w:t>
      </w:r>
      <w:r w:rsidRPr="005D3342">
        <w:rPr>
          <w:rFonts w:ascii="Inter" w:eastAsia="Inter" w:hAnsi="Inter" w:cs="Inter"/>
          <w:color w:val="000000" w:themeColor="text1"/>
          <w:sz w:val="24"/>
          <w:szCs w:val="24"/>
          <w:lang w:val="en-US"/>
        </w:rPr>
        <w:t>.</w:t>
      </w:r>
      <w:r w:rsidR="005D3342" w:rsidRPr="005D3342">
        <w:rPr>
          <w:rStyle w:val="FootnoteReference"/>
          <w:rFonts w:ascii="Inter" w:eastAsia="Inter" w:hAnsi="Inter" w:cs="Inter"/>
          <w:color w:val="000000" w:themeColor="text1"/>
          <w:szCs w:val="24"/>
          <w:lang w:val="en-US"/>
        </w:rPr>
        <w:footnoteReference w:id="5"/>
      </w:r>
      <w:r w:rsidRPr="000A4D29">
        <w:rPr>
          <w:rFonts w:ascii="Inter" w:eastAsia="Inter" w:hAnsi="Inter" w:cs="Inter"/>
          <w:sz w:val="24"/>
          <w:szCs w:val="24"/>
          <w:lang w:val="en-US"/>
        </w:rPr>
        <w:t xml:space="preserve"> </w:t>
      </w:r>
      <w:r w:rsidR="005D3342">
        <w:rPr>
          <w:rFonts w:ascii="Inter" w:eastAsia="Inter" w:hAnsi="Inter" w:cs="Inter"/>
          <w:sz w:val="24"/>
          <w:szCs w:val="24"/>
          <w:lang w:val="en-US"/>
        </w:rPr>
        <w:t>Therefore, g</w:t>
      </w:r>
      <w:r w:rsidR="005D3342" w:rsidRPr="000A4D29">
        <w:rPr>
          <w:rFonts w:ascii="Inter" w:eastAsia="Inter" w:hAnsi="Inter" w:cs="Inter"/>
          <w:sz w:val="24"/>
          <w:szCs w:val="24"/>
          <w:lang w:val="en-US"/>
        </w:rPr>
        <w:t>ender neutral anti-corruption efforts risk reinforcing inequalities and enabling abuse</w:t>
      </w:r>
      <w:r w:rsidR="005D3342">
        <w:rPr>
          <w:rFonts w:ascii="Inter" w:eastAsia="Inter" w:hAnsi="Inter" w:cs="Inter"/>
          <w:sz w:val="24"/>
          <w:szCs w:val="24"/>
          <w:lang w:val="en-US"/>
        </w:rPr>
        <w:t xml:space="preserve">. </w:t>
      </w:r>
    </w:p>
    <w:p w14:paraId="01C5F845" w14:textId="1D7D4BCC" w:rsidR="00E43B54" w:rsidRPr="000A4D29" w:rsidRDefault="00E43B54" w:rsidP="00E43B54">
      <w:pPr>
        <w:spacing w:before="240" w:after="0"/>
        <w:jc w:val="both"/>
        <w:rPr>
          <w:rFonts w:ascii="Inter" w:eastAsia="Inter" w:hAnsi="Inter" w:cs="Inter"/>
          <w:sz w:val="24"/>
          <w:szCs w:val="24"/>
          <w:lang w:val="en-US"/>
        </w:rPr>
      </w:pPr>
      <w:r w:rsidRPr="000A4D29">
        <w:rPr>
          <w:rFonts w:ascii="Inter" w:eastAsia="Inter" w:hAnsi="Inter" w:cs="Inter"/>
          <w:sz w:val="24"/>
          <w:szCs w:val="24"/>
          <w:lang w:val="en-US"/>
        </w:rPr>
        <w:lastRenderedPageBreak/>
        <w:t>Mainstreaming gender in anti-corruption efforts can enhance their effectiveness in preventing and pursuing corruption-related offenses</w:t>
      </w:r>
      <w:r w:rsidR="005D3342">
        <w:rPr>
          <w:rFonts w:ascii="Inter" w:eastAsia="Inter" w:hAnsi="Inter" w:cs="Inter"/>
          <w:sz w:val="24"/>
          <w:szCs w:val="24"/>
          <w:lang w:val="en-US"/>
        </w:rPr>
        <w:t>,</w:t>
      </w:r>
      <w:r w:rsidRPr="000A4D29">
        <w:rPr>
          <w:rFonts w:ascii="Inter" w:eastAsia="Inter" w:hAnsi="Inter" w:cs="Inter"/>
          <w:sz w:val="24"/>
          <w:szCs w:val="24"/>
          <w:lang w:val="en-US"/>
        </w:rPr>
        <w:t xml:space="preserve"> a</w:t>
      </w:r>
      <w:r w:rsidR="005D3342">
        <w:rPr>
          <w:rFonts w:ascii="Inter" w:eastAsia="Inter" w:hAnsi="Inter" w:cs="Inter"/>
          <w:sz w:val="24"/>
          <w:szCs w:val="24"/>
          <w:lang w:val="en-US"/>
        </w:rPr>
        <w:t>s well as</w:t>
      </w:r>
      <w:r w:rsidRPr="000A4D29">
        <w:rPr>
          <w:rFonts w:ascii="Inter" w:eastAsia="Inter" w:hAnsi="Inter" w:cs="Inter"/>
          <w:sz w:val="24"/>
          <w:szCs w:val="24"/>
          <w:lang w:val="en-US"/>
        </w:rPr>
        <w:t xml:space="preserve"> in providing better protection for victims of corruption.</w:t>
      </w:r>
      <w:r w:rsidRPr="000A4D29">
        <w:rPr>
          <w:rFonts w:ascii="Inter" w:eastAsia="Inter" w:hAnsi="Inter" w:cs="Inter"/>
          <w:sz w:val="24"/>
          <w:szCs w:val="24"/>
          <w:vertAlign w:val="superscript"/>
          <w:lang w:val="en-US"/>
        </w:rPr>
        <w:footnoteReference w:id="6"/>
      </w:r>
      <w:r w:rsidRPr="000A4D29">
        <w:rPr>
          <w:rFonts w:ascii="Inter" w:eastAsia="Inter" w:hAnsi="Inter" w:cs="Inter"/>
          <w:sz w:val="24"/>
          <w:szCs w:val="24"/>
          <w:lang w:val="en-US"/>
        </w:rPr>
        <w:t xml:space="preserve"> It is also important for achieving the Sustainable Development Goals, especially Goals 5 and 16.</w:t>
      </w:r>
      <w:r w:rsidRPr="000A4D29">
        <w:rPr>
          <w:rFonts w:ascii="Inter" w:eastAsia="Inter" w:hAnsi="Inter" w:cs="Inter"/>
          <w:sz w:val="24"/>
          <w:szCs w:val="24"/>
          <w:vertAlign w:val="superscript"/>
          <w:lang w:val="en-US"/>
        </w:rPr>
        <w:footnoteReference w:id="7"/>
      </w:r>
      <w:r w:rsidRPr="000A4D29">
        <w:rPr>
          <w:rFonts w:ascii="Inter" w:eastAsia="Inter" w:hAnsi="Inter" w:cs="Inter"/>
          <w:sz w:val="24"/>
          <w:szCs w:val="24"/>
          <w:lang w:val="en-US"/>
        </w:rPr>
        <w:t xml:space="preserve"> </w:t>
      </w:r>
    </w:p>
    <w:p w14:paraId="6F64E41F" w14:textId="043E2011" w:rsidR="00E43B54" w:rsidRPr="000A4D29" w:rsidRDefault="00E43B54" w:rsidP="00E43B54">
      <w:pPr>
        <w:spacing w:before="240" w:after="0"/>
        <w:jc w:val="both"/>
        <w:rPr>
          <w:rFonts w:ascii="Inter" w:eastAsia="Inter" w:hAnsi="Inter" w:cs="Inter"/>
          <w:sz w:val="24"/>
          <w:szCs w:val="24"/>
          <w:lang w:val="en-US"/>
        </w:rPr>
      </w:pPr>
      <w:r w:rsidRPr="000A4D29">
        <w:rPr>
          <w:rFonts w:ascii="Inter" w:eastAsia="Inter" w:hAnsi="Inter" w:cs="Inter"/>
          <w:sz w:val="24"/>
          <w:szCs w:val="24"/>
          <w:lang w:val="en-US"/>
        </w:rPr>
        <w:t>There is still a long way to go in mainstreaming gender into global anti-corruption efforts, particularly to fulfil commitments under UNCAC CoSP resolution 10/10,</w:t>
      </w:r>
      <w:r w:rsidRPr="000A4D29">
        <w:rPr>
          <w:rFonts w:ascii="Inter" w:eastAsia="Inter" w:hAnsi="Inter" w:cs="Inter"/>
          <w:sz w:val="24"/>
          <w:szCs w:val="24"/>
          <w:vertAlign w:val="superscript"/>
          <w:lang w:val="en-US"/>
        </w:rPr>
        <w:footnoteReference w:id="8"/>
      </w:r>
      <w:r w:rsidRPr="000A4D29">
        <w:rPr>
          <w:rFonts w:ascii="Inter" w:eastAsia="Inter" w:hAnsi="Inter" w:cs="Inter"/>
          <w:sz w:val="24"/>
          <w:szCs w:val="24"/>
          <w:lang w:val="en-US"/>
        </w:rPr>
        <w:t xml:space="preserve"> and obligations arising from international frameworks.</w:t>
      </w:r>
      <w:r w:rsidRPr="000A4D29">
        <w:rPr>
          <w:rFonts w:ascii="Inter" w:eastAsia="Inter" w:hAnsi="Inter" w:cs="Inter"/>
          <w:sz w:val="24"/>
          <w:szCs w:val="24"/>
          <w:vertAlign w:val="superscript"/>
          <w:lang w:val="en-US"/>
        </w:rPr>
        <w:footnoteReference w:id="9"/>
      </w:r>
      <w:r w:rsidRPr="000A4D29">
        <w:rPr>
          <w:rFonts w:ascii="Inter" w:eastAsia="Inter" w:hAnsi="Inter" w:cs="Inter"/>
          <w:sz w:val="24"/>
          <w:szCs w:val="24"/>
          <w:lang w:val="en-US"/>
        </w:rPr>
        <w:t xml:space="preserve"> Most national anti-corruption strategies make little or no mention of gender, and women’s organizations, gender ministries, and experts are often excluded from anti-corruption planning and policy implementation. Moreover, gender-disaggregated data on corruption and the analysis of the gendered dimensions of corruption risks remain limited. </w:t>
      </w:r>
    </w:p>
    <w:p w14:paraId="1A68E03F" w14:textId="0C003C07" w:rsidR="00E43B54" w:rsidRPr="000A4D29" w:rsidRDefault="00E43B54" w:rsidP="00E43B54">
      <w:pPr>
        <w:spacing w:before="240" w:after="0"/>
        <w:jc w:val="both"/>
        <w:rPr>
          <w:rFonts w:ascii="Inter" w:eastAsia="Inter" w:hAnsi="Inter" w:cs="Inter"/>
          <w:sz w:val="24"/>
          <w:szCs w:val="24"/>
          <w:lang w:val="en-US"/>
        </w:rPr>
      </w:pPr>
      <w:r w:rsidRPr="000A4D29">
        <w:rPr>
          <w:rFonts w:ascii="Inter" w:eastAsia="Inter" w:hAnsi="Inter" w:cs="Inter"/>
          <w:sz w:val="24"/>
          <w:szCs w:val="24"/>
          <w:lang w:val="en-US"/>
        </w:rPr>
        <w:t xml:space="preserve">However, despite an impression of policy inertia, several concerted efforts merit recognition over the past decade, serving as useful examples of promising practices and lessons learned. Many of these initiatives have been fostered by civil society actors and international organizations such as the United Nations Office on Drugs and Crime (UNODC). Its landmark study, “The Time is now: Addressing the gender dimensions of corruption,” </w:t>
      </w:r>
      <w:r w:rsidR="005D3342" w:rsidRPr="005D3342">
        <w:rPr>
          <w:rFonts w:ascii="Inter" w:eastAsia="Inter" w:hAnsi="Inter" w:cs="Inter"/>
          <w:sz w:val="24"/>
          <w:szCs w:val="24"/>
        </w:rPr>
        <w:t>map</w:t>
      </w:r>
      <w:r w:rsidR="005D3342">
        <w:rPr>
          <w:rFonts w:ascii="Inter" w:eastAsia="Inter" w:hAnsi="Inter" w:cs="Inter"/>
          <w:sz w:val="24"/>
          <w:szCs w:val="24"/>
        </w:rPr>
        <w:t>s</w:t>
      </w:r>
      <w:r w:rsidR="005D3342" w:rsidRPr="005D3342">
        <w:rPr>
          <w:rFonts w:ascii="Inter" w:eastAsia="Inter" w:hAnsi="Inter" w:cs="Inter"/>
          <w:sz w:val="24"/>
          <w:szCs w:val="24"/>
        </w:rPr>
        <w:t xml:space="preserve"> and document</w:t>
      </w:r>
      <w:r w:rsidR="005D3342">
        <w:rPr>
          <w:rFonts w:ascii="Inter" w:eastAsia="Inter" w:hAnsi="Inter" w:cs="Inter"/>
          <w:sz w:val="24"/>
          <w:szCs w:val="24"/>
        </w:rPr>
        <w:t>s</w:t>
      </w:r>
      <w:r w:rsidR="005D3342" w:rsidRPr="005D3342">
        <w:rPr>
          <w:rFonts w:ascii="Inter" w:eastAsia="Inter" w:hAnsi="Inter" w:cs="Inter"/>
          <w:sz w:val="24"/>
          <w:szCs w:val="24"/>
        </w:rPr>
        <w:t xml:space="preserve"> </w:t>
      </w:r>
      <w:r w:rsidR="005D3342">
        <w:rPr>
          <w:rFonts w:ascii="Inter" w:eastAsia="Inter" w:hAnsi="Inter" w:cs="Inter"/>
          <w:sz w:val="24"/>
          <w:szCs w:val="24"/>
        </w:rPr>
        <w:t>the intersection of</w:t>
      </w:r>
      <w:r w:rsidR="005D3342" w:rsidRPr="005D3342">
        <w:rPr>
          <w:rFonts w:ascii="Inter" w:eastAsia="Inter" w:hAnsi="Inter" w:cs="Inter"/>
          <w:sz w:val="24"/>
          <w:szCs w:val="24"/>
        </w:rPr>
        <w:t xml:space="preserve"> gender and corruption, moving the debate toward evidence, policy gaps</w:t>
      </w:r>
      <w:r w:rsidR="005D3342">
        <w:rPr>
          <w:rFonts w:ascii="Inter" w:eastAsia="Inter" w:hAnsi="Inter" w:cs="Inter"/>
          <w:sz w:val="24"/>
          <w:szCs w:val="24"/>
        </w:rPr>
        <w:t>,</w:t>
      </w:r>
      <w:r w:rsidR="005D3342" w:rsidRPr="005D3342">
        <w:rPr>
          <w:rFonts w:ascii="Inter" w:eastAsia="Inter" w:hAnsi="Inter" w:cs="Inter"/>
          <w:sz w:val="24"/>
          <w:szCs w:val="24"/>
        </w:rPr>
        <w:t xml:space="preserve"> and practice</w:t>
      </w:r>
      <w:r w:rsidRPr="000A4D29">
        <w:rPr>
          <w:rFonts w:ascii="Inter" w:eastAsia="Inter" w:hAnsi="Inter" w:cs="Inter"/>
          <w:sz w:val="24"/>
          <w:szCs w:val="24"/>
          <w:lang w:val="en-US"/>
        </w:rPr>
        <w:t>.</w:t>
      </w:r>
      <w:r w:rsidRPr="000A4D29">
        <w:rPr>
          <w:rFonts w:ascii="Inter" w:eastAsia="Inter" w:hAnsi="Inter" w:cs="Inter"/>
          <w:sz w:val="24"/>
          <w:szCs w:val="24"/>
          <w:vertAlign w:val="superscript"/>
          <w:lang w:val="en-US"/>
        </w:rPr>
        <w:footnoteReference w:id="10"/>
      </w:r>
      <w:r w:rsidRPr="000A4D29">
        <w:rPr>
          <w:rFonts w:ascii="Inter" w:eastAsia="Inter" w:hAnsi="Inter" w:cs="Inter"/>
          <w:sz w:val="24"/>
          <w:szCs w:val="24"/>
          <w:lang w:val="en-US"/>
        </w:rPr>
        <w:t xml:space="preserve"> Others have emerged from regional cooperation programs such as EUROsociAL</w:t>
      </w:r>
      <w:r w:rsidRPr="000A4D29">
        <w:rPr>
          <w:rFonts w:ascii="Inter" w:eastAsia="Inter" w:hAnsi="Inter" w:cs="Inter"/>
          <w:sz w:val="24"/>
          <w:szCs w:val="24"/>
          <w:vertAlign w:val="superscript"/>
          <w:lang w:val="en-US"/>
        </w:rPr>
        <w:footnoteReference w:id="11"/>
      </w:r>
      <w:r w:rsidRPr="000A4D29">
        <w:rPr>
          <w:rFonts w:ascii="Inter" w:eastAsia="Inter" w:hAnsi="Inter" w:cs="Inter"/>
          <w:sz w:val="24"/>
          <w:szCs w:val="24"/>
          <w:lang w:val="en-US"/>
        </w:rPr>
        <w:t xml:space="preserve"> between European and Latin American countries, which took stock and shared progress on gender mainstreaming and the legal recognition of sexual corruption in criminal law. The diagnostic study of this program acknowledged the lack of empirical data to analyze and assess the relationship between corruption and gender as the main obstacle to a more robust approach to this emerging issue.</w:t>
      </w:r>
      <w:r w:rsidRPr="000A4D29">
        <w:rPr>
          <w:rFonts w:ascii="Inter" w:eastAsia="Inter" w:hAnsi="Inter" w:cs="Inter"/>
          <w:sz w:val="24"/>
          <w:szCs w:val="24"/>
          <w:vertAlign w:val="superscript"/>
          <w:lang w:val="en-US"/>
        </w:rPr>
        <w:footnoteReference w:id="12"/>
      </w:r>
      <w:r w:rsidRPr="000A4D29">
        <w:rPr>
          <w:rFonts w:ascii="Inter" w:eastAsia="Inter" w:hAnsi="Inter" w:cs="Inter"/>
          <w:sz w:val="24"/>
          <w:szCs w:val="24"/>
          <w:lang w:val="en-US"/>
        </w:rPr>
        <w:t xml:space="preserve"> In the Asia-Pacific region, collaboration between the </w:t>
      </w:r>
      <w:r w:rsidRPr="000A4D29">
        <w:rPr>
          <w:rFonts w:ascii="Inter" w:eastAsia="Inter" w:hAnsi="Inter" w:cs="Inter"/>
          <w:sz w:val="24"/>
          <w:szCs w:val="24"/>
          <w:lang w:val="en-US"/>
        </w:rPr>
        <w:lastRenderedPageBreak/>
        <w:t xml:space="preserve">Anti-Corruption and Transparency Experts Working Group </w:t>
      </w:r>
      <w:r w:rsidR="006B0DF4">
        <w:rPr>
          <w:rFonts w:ascii="Inter" w:eastAsia="Inter" w:hAnsi="Inter" w:cs="Inter"/>
          <w:sz w:val="24"/>
          <w:szCs w:val="24"/>
          <w:lang w:val="en-US"/>
        </w:rPr>
        <w:t xml:space="preserve">(ACTWG) </w:t>
      </w:r>
      <w:r w:rsidRPr="000A4D29">
        <w:rPr>
          <w:rFonts w:ascii="Inter" w:eastAsia="Inter" w:hAnsi="Inter" w:cs="Inter"/>
          <w:sz w:val="24"/>
          <w:szCs w:val="24"/>
          <w:lang w:val="en-US"/>
        </w:rPr>
        <w:t>Malaysia and the Policy Partnership on Women and the Economy</w:t>
      </w:r>
      <w:r w:rsidR="006B0DF4">
        <w:rPr>
          <w:rFonts w:ascii="Inter" w:eastAsia="Inter" w:hAnsi="Inter" w:cs="Inter"/>
          <w:sz w:val="24"/>
          <w:szCs w:val="24"/>
          <w:lang w:val="en-US"/>
        </w:rPr>
        <w:t xml:space="preserve"> (PPWE)</w:t>
      </w:r>
      <w:r w:rsidRPr="000A4D29">
        <w:rPr>
          <w:rFonts w:ascii="Inter" w:eastAsia="Inter" w:hAnsi="Inter" w:cs="Inter"/>
          <w:sz w:val="24"/>
          <w:szCs w:val="24"/>
          <w:lang w:val="en-US"/>
        </w:rPr>
        <w:t>, involving international experts on gender, private sector</w:t>
      </w:r>
      <w:r w:rsidR="00696FA6">
        <w:rPr>
          <w:rFonts w:ascii="Inter" w:eastAsia="Inter" w:hAnsi="Inter" w:cs="Inter"/>
          <w:sz w:val="24"/>
          <w:szCs w:val="24"/>
          <w:lang w:val="en-US"/>
        </w:rPr>
        <w:t xml:space="preserve"> and </w:t>
      </w:r>
      <w:r w:rsidRPr="000A4D29">
        <w:rPr>
          <w:rFonts w:ascii="Inter" w:eastAsia="Inter" w:hAnsi="Inter" w:cs="Inter"/>
          <w:sz w:val="24"/>
          <w:szCs w:val="24"/>
          <w:lang w:val="en-US"/>
        </w:rPr>
        <w:t>public policy makers, women’s group organisations, law enforcement, anti-corruption practitioners, and academia across 16 countries, resulted in proposing eight policy recommendations on gender mainstreaming in anti-corruption work.</w:t>
      </w:r>
      <w:r w:rsidRPr="000A4D29">
        <w:rPr>
          <w:rFonts w:ascii="Inter" w:eastAsia="Inter" w:hAnsi="Inter" w:cs="Inter"/>
          <w:sz w:val="24"/>
          <w:szCs w:val="24"/>
          <w:vertAlign w:val="superscript"/>
          <w:lang w:val="en-US"/>
        </w:rPr>
        <w:footnoteReference w:id="13"/>
      </w:r>
      <w:r w:rsidRPr="000A4D29">
        <w:rPr>
          <w:rFonts w:ascii="Inter" w:eastAsia="Inter" w:hAnsi="Inter" w:cs="Inter"/>
          <w:sz w:val="24"/>
          <w:szCs w:val="24"/>
          <w:lang w:val="en-US"/>
        </w:rPr>
        <w:t xml:space="preserve"> Development agencies have also been at the forefront of including a gender perspective in development assistance and cooperation to improve governance systems, public integrity, and the rule of law.</w:t>
      </w:r>
    </w:p>
    <w:p w14:paraId="715EAB72" w14:textId="64654E46" w:rsidR="002340F0" w:rsidRPr="000A4D29" w:rsidRDefault="00E43B54" w:rsidP="002340F0">
      <w:pPr>
        <w:spacing w:before="240" w:after="0"/>
        <w:jc w:val="both"/>
        <w:rPr>
          <w:rFonts w:ascii="Inter" w:eastAsia="Inter" w:hAnsi="Inter" w:cs="Inter"/>
          <w:sz w:val="24"/>
          <w:szCs w:val="24"/>
          <w:lang w:val="en-US"/>
        </w:rPr>
      </w:pPr>
      <w:r w:rsidRPr="000A4D29">
        <w:rPr>
          <w:rFonts w:ascii="Inter" w:eastAsia="Inter" w:hAnsi="Inter" w:cs="Inter"/>
          <w:sz w:val="24"/>
          <w:szCs w:val="24"/>
          <w:lang w:val="en-US"/>
        </w:rPr>
        <w:t xml:space="preserve">This written submission builds on a policy brief pending publication by the U4 Anti-Corruption Resource Centre and the Global Civil Society Coalition for the UNCAC Working Group on Gender, Inclusion and Corruption, which highlights meaningful practices of gender mainstreaming in anti-corruption efforts in the past 10 years, lessons learned, and gaps that need addressing, and provides recommendations to governments willing to engage in this area, as well as to civil society organizations working on anti-corruption and on gender issues. </w:t>
      </w:r>
    </w:p>
    <w:p w14:paraId="61C582F2" w14:textId="77777777" w:rsidR="00041907" w:rsidRPr="000A4D29" w:rsidRDefault="00041907" w:rsidP="00041907">
      <w:pPr>
        <w:spacing w:after="0"/>
        <w:jc w:val="both"/>
        <w:rPr>
          <w:rFonts w:ascii="Inter" w:eastAsia="Inter" w:hAnsi="Inter" w:cs="Inter"/>
          <w:b/>
          <w:bCs/>
          <w:sz w:val="24"/>
          <w:szCs w:val="24"/>
          <w:lang w:val="en-US"/>
        </w:rPr>
      </w:pPr>
    </w:p>
    <w:p w14:paraId="3662509C" w14:textId="7875F0D2" w:rsidR="00041907" w:rsidRPr="003F4B7C" w:rsidRDefault="00E43B54" w:rsidP="003F4B7C">
      <w:pPr>
        <w:pStyle w:val="Heading2"/>
        <w:spacing w:before="0"/>
        <w:rPr>
          <w:bCs/>
          <w:color w:val="000000" w:themeColor="text1"/>
          <w:sz w:val="26"/>
          <w:szCs w:val="26"/>
          <w:lang w:val="en-US"/>
        </w:rPr>
      </w:pPr>
      <w:r w:rsidRPr="003F4B7C">
        <w:rPr>
          <w:rFonts w:eastAsia="Calibri" w:cs="Calibri"/>
          <w:bCs/>
          <w:color w:val="000000" w:themeColor="text1"/>
          <w:sz w:val="26"/>
          <w:szCs w:val="26"/>
          <w:lang w:val="en-US"/>
        </w:rPr>
        <w:t>Good practices by governments</w:t>
      </w:r>
    </w:p>
    <w:p w14:paraId="47608C65" w14:textId="77777777" w:rsidR="00E43B54" w:rsidRPr="000A4D29" w:rsidRDefault="00E43B54" w:rsidP="00E43B54">
      <w:pPr>
        <w:numPr>
          <w:ilvl w:val="0"/>
          <w:numId w:val="49"/>
        </w:numPr>
        <w:spacing w:after="0"/>
        <w:jc w:val="both"/>
        <w:rPr>
          <w:rFonts w:ascii="Inter" w:eastAsia="Inter" w:hAnsi="Inter" w:cs="Inter"/>
          <w:sz w:val="24"/>
          <w:szCs w:val="24"/>
          <w:lang w:val="en-US"/>
        </w:rPr>
      </w:pPr>
      <w:r w:rsidRPr="000A4D29">
        <w:rPr>
          <w:rFonts w:ascii="Inter" w:eastAsia="Inter" w:hAnsi="Inter" w:cs="Inter"/>
          <w:sz w:val="24"/>
          <w:szCs w:val="24"/>
          <w:lang w:val="en-US"/>
        </w:rPr>
        <w:t>Including gender mainstreaming in national anti-corruption strategies and plans.</w:t>
      </w:r>
      <w:r w:rsidRPr="000A4D29">
        <w:rPr>
          <w:rFonts w:ascii="Inter" w:eastAsia="Inter" w:hAnsi="Inter" w:cs="Inter"/>
          <w:sz w:val="24"/>
          <w:szCs w:val="24"/>
          <w:vertAlign w:val="superscript"/>
          <w:lang w:val="en-US"/>
        </w:rPr>
        <w:footnoteReference w:id="14"/>
      </w:r>
    </w:p>
    <w:p w14:paraId="5DF6C9EB" w14:textId="13C04FE9" w:rsidR="00E43B54" w:rsidRPr="000A4D29" w:rsidRDefault="00E43B54" w:rsidP="00E43B54">
      <w:pPr>
        <w:numPr>
          <w:ilvl w:val="0"/>
          <w:numId w:val="49"/>
        </w:numPr>
        <w:spacing w:after="0"/>
        <w:jc w:val="both"/>
        <w:rPr>
          <w:rFonts w:ascii="Inter" w:eastAsia="Inter" w:hAnsi="Inter" w:cs="Inter"/>
          <w:sz w:val="24"/>
          <w:szCs w:val="24"/>
          <w:lang w:val="en-US"/>
        </w:rPr>
      </w:pPr>
      <w:r w:rsidRPr="000A4D29">
        <w:rPr>
          <w:rFonts w:ascii="Inter" w:eastAsia="Inter" w:hAnsi="Inter" w:cs="Inter"/>
          <w:sz w:val="24"/>
          <w:szCs w:val="24"/>
          <w:lang w:val="en-US"/>
        </w:rPr>
        <w:t>Collecting and analyzing sex/gender disaggregated data at national and local levels, and in regional and international evaluations of anti-corruption efforts.</w:t>
      </w:r>
      <w:r w:rsidRPr="000A4D29">
        <w:rPr>
          <w:rFonts w:ascii="Inter" w:eastAsia="Inter" w:hAnsi="Inter" w:cs="Inter"/>
          <w:sz w:val="24"/>
          <w:szCs w:val="24"/>
          <w:vertAlign w:val="superscript"/>
          <w:lang w:val="en-US"/>
        </w:rPr>
        <w:footnoteReference w:id="15"/>
      </w:r>
    </w:p>
    <w:p w14:paraId="5FAD244C" w14:textId="77777777" w:rsidR="00E43B54" w:rsidRPr="000A4D29" w:rsidRDefault="00E43B54" w:rsidP="00E43B54">
      <w:pPr>
        <w:numPr>
          <w:ilvl w:val="0"/>
          <w:numId w:val="49"/>
        </w:numPr>
        <w:spacing w:after="0"/>
        <w:jc w:val="both"/>
        <w:rPr>
          <w:rFonts w:ascii="Inter" w:eastAsia="Inter" w:hAnsi="Inter" w:cs="Inter"/>
          <w:sz w:val="24"/>
          <w:szCs w:val="24"/>
          <w:lang w:val="en-US"/>
        </w:rPr>
      </w:pPr>
      <w:r w:rsidRPr="000A4D29">
        <w:rPr>
          <w:rFonts w:ascii="Inter" w:eastAsia="Inter" w:hAnsi="Inter" w:cs="Inter"/>
          <w:sz w:val="24"/>
          <w:szCs w:val="24"/>
          <w:lang w:val="en-US"/>
        </w:rPr>
        <w:t>Gender-sensitive training for public officials working on anti-corruption, especially within anti-corruption and law enforcement bodies.</w:t>
      </w:r>
      <w:r w:rsidRPr="000A4D29">
        <w:rPr>
          <w:rFonts w:ascii="Inter" w:eastAsia="Inter" w:hAnsi="Inter" w:cs="Inter"/>
          <w:sz w:val="24"/>
          <w:szCs w:val="24"/>
          <w:vertAlign w:val="superscript"/>
          <w:lang w:val="en-US"/>
        </w:rPr>
        <w:footnoteReference w:id="16"/>
      </w:r>
    </w:p>
    <w:p w14:paraId="10564EFB" w14:textId="5541E19A" w:rsidR="00E43B54" w:rsidRPr="000A4D29" w:rsidRDefault="00E43B54" w:rsidP="00E43B54">
      <w:pPr>
        <w:numPr>
          <w:ilvl w:val="0"/>
          <w:numId w:val="49"/>
        </w:numPr>
        <w:spacing w:after="0"/>
        <w:jc w:val="both"/>
        <w:rPr>
          <w:rFonts w:ascii="Inter" w:eastAsia="Inter" w:hAnsi="Inter" w:cs="Inter"/>
          <w:sz w:val="24"/>
          <w:szCs w:val="24"/>
          <w:lang w:val="en-US"/>
        </w:rPr>
      </w:pPr>
      <w:r w:rsidRPr="000A4D29">
        <w:rPr>
          <w:rFonts w:ascii="Inter" w:eastAsia="Inter" w:hAnsi="Inter" w:cs="Inter"/>
          <w:sz w:val="24"/>
          <w:szCs w:val="24"/>
          <w:lang w:val="en-US"/>
        </w:rPr>
        <w:t>Elaborating policy guidelines showing how gender intersects with corruption and barriers in addressing it.</w:t>
      </w:r>
      <w:r w:rsidRPr="000A4D29">
        <w:rPr>
          <w:rFonts w:ascii="Inter" w:eastAsia="Inter" w:hAnsi="Inter" w:cs="Inter"/>
          <w:sz w:val="24"/>
          <w:szCs w:val="24"/>
          <w:vertAlign w:val="superscript"/>
          <w:lang w:val="en-US"/>
        </w:rPr>
        <w:footnoteReference w:id="17"/>
      </w:r>
      <w:r w:rsidRPr="000A4D29">
        <w:rPr>
          <w:rFonts w:ascii="Inter" w:eastAsia="Inter" w:hAnsi="Inter" w:cs="Inter"/>
          <w:sz w:val="24"/>
          <w:szCs w:val="24"/>
          <w:lang w:val="en-US"/>
        </w:rPr>
        <w:t xml:space="preserve"> </w:t>
      </w:r>
    </w:p>
    <w:p w14:paraId="5A209EB7" w14:textId="06C29FB8" w:rsidR="00E43B54" w:rsidRPr="000A4D29" w:rsidRDefault="00E43B54" w:rsidP="00E43B54">
      <w:pPr>
        <w:numPr>
          <w:ilvl w:val="0"/>
          <w:numId w:val="49"/>
        </w:numPr>
        <w:spacing w:after="0"/>
        <w:jc w:val="both"/>
        <w:rPr>
          <w:rFonts w:ascii="Inter" w:eastAsia="Inter" w:hAnsi="Inter" w:cs="Inter"/>
          <w:sz w:val="24"/>
          <w:szCs w:val="24"/>
          <w:lang w:val="en-US"/>
        </w:rPr>
      </w:pPr>
      <w:r w:rsidRPr="000A4D29">
        <w:rPr>
          <w:rFonts w:ascii="Inter" w:eastAsia="Inter" w:hAnsi="Inter" w:cs="Inter"/>
          <w:sz w:val="24"/>
          <w:szCs w:val="24"/>
          <w:lang w:val="en-US"/>
        </w:rPr>
        <w:lastRenderedPageBreak/>
        <w:t>Developing legislation criminalizing sexual corruption.</w:t>
      </w:r>
      <w:r w:rsidRPr="000A4D29">
        <w:rPr>
          <w:rFonts w:ascii="Inter" w:eastAsia="Inter" w:hAnsi="Inter" w:cs="Inter"/>
          <w:sz w:val="24"/>
          <w:szCs w:val="24"/>
          <w:vertAlign w:val="superscript"/>
          <w:lang w:val="en-US"/>
        </w:rPr>
        <w:footnoteReference w:id="18"/>
      </w:r>
      <w:r w:rsidRPr="000A4D29">
        <w:rPr>
          <w:rFonts w:ascii="Inter" w:eastAsia="Inter" w:hAnsi="Inter" w:cs="Inter"/>
          <w:sz w:val="24"/>
          <w:szCs w:val="24"/>
          <w:lang w:val="en-US"/>
        </w:rPr>
        <w:t xml:space="preserve"> </w:t>
      </w:r>
    </w:p>
    <w:p w14:paraId="3075C0C7" w14:textId="77777777" w:rsidR="00E43B54" w:rsidRPr="000A4D29" w:rsidRDefault="00E43B54" w:rsidP="00E43B54">
      <w:pPr>
        <w:numPr>
          <w:ilvl w:val="0"/>
          <w:numId w:val="49"/>
        </w:numPr>
        <w:spacing w:after="0"/>
        <w:jc w:val="both"/>
        <w:rPr>
          <w:rFonts w:ascii="Inter" w:eastAsia="Inter" w:hAnsi="Inter" w:cs="Inter"/>
          <w:sz w:val="24"/>
          <w:szCs w:val="24"/>
          <w:lang w:val="en-US"/>
        </w:rPr>
      </w:pPr>
      <w:r w:rsidRPr="000A4D29">
        <w:rPr>
          <w:rFonts w:ascii="Inter" w:eastAsia="Inter" w:hAnsi="Inter" w:cs="Inter"/>
          <w:sz w:val="24"/>
          <w:szCs w:val="24"/>
          <w:lang w:val="en-US"/>
        </w:rPr>
        <w:t>Building bridges between anti-corruption institutions and civil society to enhance gender mainstreaming and empower women as agents of change in anti-corruption efforts.</w:t>
      </w:r>
      <w:r w:rsidRPr="000A4D29">
        <w:rPr>
          <w:rFonts w:ascii="Inter" w:eastAsia="Inter" w:hAnsi="Inter" w:cs="Inter"/>
          <w:sz w:val="24"/>
          <w:szCs w:val="24"/>
          <w:vertAlign w:val="superscript"/>
          <w:lang w:val="en-US"/>
        </w:rPr>
        <w:footnoteReference w:id="19"/>
      </w:r>
      <w:r w:rsidRPr="000A4D29">
        <w:rPr>
          <w:rFonts w:ascii="Inter" w:eastAsia="Inter" w:hAnsi="Inter" w:cs="Inter"/>
          <w:sz w:val="24"/>
          <w:szCs w:val="24"/>
          <w:lang w:val="en-US"/>
        </w:rPr>
        <w:t xml:space="preserve"> </w:t>
      </w:r>
    </w:p>
    <w:p w14:paraId="30715428" w14:textId="77777777" w:rsidR="00E43B54" w:rsidRPr="000A4D29" w:rsidRDefault="00E43B54" w:rsidP="00E43B54">
      <w:pPr>
        <w:spacing w:after="0"/>
        <w:jc w:val="both"/>
        <w:rPr>
          <w:rFonts w:ascii="Inter" w:eastAsia="Inter" w:hAnsi="Inter" w:cs="Inter"/>
          <w:sz w:val="24"/>
          <w:szCs w:val="24"/>
          <w:lang w:val="en-US"/>
        </w:rPr>
      </w:pPr>
    </w:p>
    <w:p w14:paraId="06B64F69" w14:textId="5D7C8AD2" w:rsidR="00E43B54" w:rsidRPr="003F4B7C" w:rsidRDefault="00E43B54" w:rsidP="003F4B7C">
      <w:pPr>
        <w:jc w:val="both"/>
        <w:rPr>
          <w:rFonts w:asciiTheme="majorHAnsi" w:eastAsia="Inter" w:hAnsiTheme="majorHAnsi" w:cs="Inter"/>
          <w:b/>
          <w:bCs/>
          <w:sz w:val="26"/>
          <w:szCs w:val="26"/>
          <w:lang w:val="en-US"/>
        </w:rPr>
      </w:pPr>
      <w:r w:rsidRPr="003F4B7C">
        <w:rPr>
          <w:rFonts w:asciiTheme="majorHAnsi" w:eastAsia="Inter" w:hAnsiTheme="majorHAnsi" w:cs="Inter"/>
          <w:b/>
          <w:bCs/>
          <w:sz w:val="26"/>
          <w:szCs w:val="26"/>
          <w:lang w:val="en-US"/>
        </w:rPr>
        <w:t>Good practices by civil society</w:t>
      </w:r>
    </w:p>
    <w:p w14:paraId="1B11308F" w14:textId="77777777" w:rsidR="00E43B54" w:rsidRPr="000A4D29" w:rsidRDefault="00E43B54" w:rsidP="00E43B54">
      <w:pPr>
        <w:numPr>
          <w:ilvl w:val="0"/>
          <w:numId w:val="45"/>
        </w:numPr>
        <w:spacing w:after="0"/>
        <w:jc w:val="both"/>
        <w:rPr>
          <w:rFonts w:ascii="Inter" w:eastAsia="Inter" w:hAnsi="Inter" w:cs="Inter"/>
          <w:sz w:val="24"/>
          <w:szCs w:val="24"/>
          <w:lang w:val="en-US"/>
        </w:rPr>
      </w:pPr>
      <w:r w:rsidRPr="000A4D29">
        <w:rPr>
          <w:rFonts w:ascii="Inter" w:eastAsia="Inter" w:hAnsi="Inter" w:cs="Inter"/>
          <w:sz w:val="24"/>
          <w:szCs w:val="24"/>
          <w:lang w:val="en-US"/>
        </w:rPr>
        <w:t>Identifying knowledge gaps regarding the intersection between gender, human rights, and corruption.</w:t>
      </w:r>
      <w:r w:rsidRPr="000A4D29">
        <w:rPr>
          <w:rFonts w:ascii="Inter" w:eastAsia="Inter" w:hAnsi="Inter" w:cs="Inter"/>
          <w:sz w:val="24"/>
          <w:szCs w:val="24"/>
          <w:vertAlign w:val="superscript"/>
          <w:lang w:val="en-US"/>
        </w:rPr>
        <w:footnoteReference w:id="20"/>
      </w:r>
    </w:p>
    <w:p w14:paraId="7D80A760" w14:textId="77777777" w:rsidR="00E43B54" w:rsidRPr="000A4D29" w:rsidRDefault="00E43B54" w:rsidP="00E43B54">
      <w:pPr>
        <w:numPr>
          <w:ilvl w:val="0"/>
          <w:numId w:val="45"/>
        </w:numPr>
        <w:spacing w:after="0"/>
        <w:jc w:val="both"/>
        <w:rPr>
          <w:rFonts w:ascii="Inter" w:eastAsia="Inter" w:hAnsi="Inter" w:cs="Inter"/>
          <w:sz w:val="24"/>
          <w:szCs w:val="24"/>
          <w:lang w:val="en-US"/>
        </w:rPr>
      </w:pPr>
      <w:r w:rsidRPr="000A4D29">
        <w:rPr>
          <w:rFonts w:ascii="Inter" w:eastAsia="Inter" w:hAnsi="Inter" w:cs="Inter"/>
          <w:sz w:val="24"/>
          <w:szCs w:val="24"/>
          <w:lang w:val="en-US"/>
        </w:rPr>
        <w:t>Researching and publishing reports to monitor government actions and progress around gender mainstreaming in anti-corruption efforts, and the challenges they face.</w:t>
      </w:r>
      <w:r w:rsidRPr="000A4D29">
        <w:rPr>
          <w:rFonts w:ascii="Inter" w:eastAsia="Inter" w:hAnsi="Inter" w:cs="Inter"/>
          <w:sz w:val="24"/>
          <w:szCs w:val="24"/>
          <w:vertAlign w:val="superscript"/>
          <w:lang w:val="en-US"/>
        </w:rPr>
        <w:footnoteReference w:id="21"/>
      </w:r>
    </w:p>
    <w:p w14:paraId="4BA20E60" w14:textId="53C65A43" w:rsidR="00E43B54" w:rsidRPr="000A4D29" w:rsidRDefault="00E43B54" w:rsidP="00E43B54">
      <w:pPr>
        <w:numPr>
          <w:ilvl w:val="0"/>
          <w:numId w:val="45"/>
        </w:numPr>
        <w:spacing w:after="0"/>
        <w:jc w:val="both"/>
        <w:rPr>
          <w:rFonts w:ascii="Inter" w:eastAsia="Inter" w:hAnsi="Inter" w:cs="Inter"/>
          <w:sz w:val="24"/>
          <w:szCs w:val="24"/>
          <w:lang w:val="en-US"/>
        </w:rPr>
      </w:pPr>
      <w:r w:rsidRPr="000A4D29">
        <w:rPr>
          <w:rFonts w:ascii="Inter" w:eastAsia="Inter" w:hAnsi="Inter" w:cs="Inter"/>
          <w:sz w:val="24"/>
          <w:szCs w:val="24"/>
          <w:lang w:val="en-US"/>
        </w:rPr>
        <w:t>Identifying gaps in gender mainstreaming in anti-corruption policies and programs.</w:t>
      </w:r>
      <w:r w:rsidRPr="000A4D29">
        <w:rPr>
          <w:rFonts w:ascii="Inter" w:eastAsia="Inter" w:hAnsi="Inter" w:cs="Inter"/>
          <w:sz w:val="24"/>
          <w:szCs w:val="24"/>
          <w:vertAlign w:val="superscript"/>
          <w:lang w:val="en-US"/>
        </w:rPr>
        <w:footnoteReference w:id="22"/>
      </w:r>
    </w:p>
    <w:p w14:paraId="230E667F" w14:textId="7B819427" w:rsidR="00E43B54" w:rsidRPr="000A4D29" w:rsidRDefault="00E43B54" w:rsidP="00E43B54">
      <w:pPr>
        <w:numPr>
          <w:ilvl w:val="0"/>
          <w:numId w:val="45"/>
        </w:numPr>
        <w:spacing w:after="0"/>
        <w:jc w:val="both"/>
        <w:rPr>
          <w:rFonts w:ascii="Inter" w:eastAsia="Inter" w:hAnsi="Inter" w:cs="Inter"/>
          <w:sz w:val="24"/>
          <w:szCs w:val="24"/>
          <w:lang w:val="en-US"/>
        </w:rPr>
      </w:pPr>
      <w:r w:rsidRPr="000A4D29">
        <w:rPr>
          <w:rFonts w:ascii="Inter" w:eastAsia="Inter" w:hAnsi="Inter" w:cs="Inter"/>
          <w:sz w:val="24"/>
          <w:szCs w:val="24"/>
          <w:lang w:val="en-US"/>
        </w:rPr>
        <w:t>Collaborating with anti-corruption institutions at national and subnational levels to provide policy advice and guidance on mainstreaming gender in anti-corruption programs.</w:t>
      </w:r>
      <w:r w:rsidRPr="000A4D29">
        <w:rPr>
          <w:rFonts w:ascii="Inter" w:eastAsia="Inter" w:hAnsi="Inter" w:cs="Inter"/>
          <w:sz w:val="24"/>
          <w:szCs w:val="24"/>
          <w:vertAlign w:val="superscript"/>
          <w:lang w:val="en-US"/>
        </w:rPr>
        <w:footnoteReference w:id="23"/>
      </w:r>
    </w:p>
    <w:p w14:paraId="7A7EE602" w14:textId="77777777" w:rsidR="00E43B54" w:rsidRPr="00E43B54" w:rsidRDefault="00E43B54" w:rsidP="00E43B54">
      <w:pPr>
        <w:spacing w:after="0"/>
        <w:jc w:val="both"/>
        <w:rPr>
          <w:rFonts w:ascii="Inter" w:eastAsia="Inter" w:hAnsi="Inter" w:cs="Inter"/>
          <w:szCs w:val="20"/>
          <w:lang w:val="en-US"/>
        </w:rPr>
      </w:pPr>
    </w:p>
    <w:p w14:paraId="51376EDF" w14:textId="3DCE3268" w:rsidR="00CC53EA" w:rsidRPr="003F4B7C" w:rsidRDefault="00E43B54" w:rsidP="003F4B7C">
      <w:pPr>
        <w:jc w:val="both"/>
        <w:rPr>
          <w:rFonts w:asciiTheme="majorHAnsi" w:eastAsia="Inter" w:hAnsiTheme="majorHAnsi" w:cs="Inter"/>
          <w:b/>
          <w:bCs/>
          <w:sz w:val="26"/>
          <w:szCs w:val="26"/>
          <w:lang w:val="en-US"/>
        </w:rPr>
      </w:pPr>
      <w:r w:rsidRPr="003F4B7C">
        <w:rPr>
          <w:rFonts w:asciiTheme="majorHAnsi" w:eastAsia="Inter" w:hAnsiTheme="majorHAnsi" w:cs="Inter"/>
          <w:b/>
          <w:bCs/>
          <w:sz w:val="26"/>
          <w:szCs w:val="26"/>
          <w:lang w:val="en-US"/>
        </w:rPr>
        <w:t xml:space="preserve">Recommendations for governments </w:t>
      </w:r>
    </w:p>
    <w:p w14:paraId="328E7076" w14:textId="488FF1F3" w:rsidR="00E43B54" w:rsidRPr="000A4D29" w:rsidRDefault="00E43B54" w:rsidP="00E43B54">
      <w:pPr>
        <w:spacing w:after="0"/>
        <w:jc w:val="both"/>
        <w:rPr>
          <w:rFonts w:ascii="Inter" w:eastAsia="Inter" w:hAnsi="Inter" w:cs="Inter"/>
          <w:sz w:val="24"/>
          <w:szCs w:val="24"/>
          <w:lang w:val="en-US"/>
        </w:rPr>
      </w:pPr>
      <w:r w:rsidRPr="000A4D29">
        <w:rPr>
          <w:rFonts w:ascii="Inter" w:eastAsia="Inter" w:hAnsi="Inter" w:cs="Inter"/>
          <w:sz w:val="24"/>
          <w:szCs w:val="24"/>
          <w:lang w:val="en-US"/>
        </w:rPr>
        <w:t xml:space="preserve">Governments and international actors have a long way to go in fully integrating gender into the ways countries analyze, prevent, and respond to corruption. To advance this goal, we offer the following recommendations, drawing on good practices </w:t>
      </w:r>
      <w:r w:rsidR="00DB631D" w:rsidRPr="000A4D29">
        <w:rPr>
          <w:rFonts w:ascii="Inter" w:eastAsia="Inter" w:hAnsi="Inter" w:cs="Inter"/>
          <w:sz w:val="24"/>
          <w:szCs w:val="24"/>
          <w:lang w:val="en-US"/>
        </w:rPr>
        <w:t>and</w:t>
      </w:r>
      <w:r w:rsidRPr="000A4D29">
        <w:rPr>
          <w:rFonts w:ascii="Inter" w:eastAsia="Inter" w:hAnsi="Inter" w:cs="Inter"/>
          <w:sz w:val="24"/>
          <w:szCs w:val="24"/>
          <w:lang w:val="en-US"/>
        </w:rPr>
        <w:t xml:space="preserve"> lessons learned from the shortcomings of gender mainstreaming initiatives in other policy areas.</w:t>
      </w:r>
    </w:p>
    <w:p w14:paraId="1D7D357D" w14:textId="77777777" w:rsidR="00E43B54" w:rsidRPr="000A4D29" w:rsidRDefault="00E43B54" w:rsidP="00E43B54">
      <w:pPr>
        <w:spacing w:after="0"/>
        <w:jc w:val="both"/>
        <w:rPr>
          <w:rFonts w:ascii="Inter" w:eastAsia="Inter" w:hAnsi="Inter" w:cs="Inter"/>
          <w:sz w:val="24"/>
          <w:szCs w:val="24"/>
          <w:lang w:val="en-US"/>
        </w:rPr>
      </w:pPr>
    </w:p>
    <w:p w14:paraId="6779AEFC" w14:textId="009C1F2F" w:rsidR="00E43B54" w:rsidRPr="000A4D29" w:rsidRDefault="00E43B54" w:rsidP="00E43B54">
      <w:pPr>
        <w:numPr>
          <w:ilvl w:val="0"/>
          <w:numId w:val="51"/>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Greater gender mainstreaming in anti-corruption strategies, policies, and institutions</w:t>
      </w:r>
    </w:p>
    <w:p w14:paraId="423AEAB0" w14:textId="13E984E6" w:rsidR="00E43B54" w:rsidRPr="000A4D29" w:rsidRDefault="00E43B54" w:rsidP="00E43B54">
      <w:pPr>
        <w:numPr>
          <w:ilvl w:val="0"/>
          <w:numId w:val="48"/>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lastRenderedPageBreak/>
        <w:t>Facilitate gender expertise in anti-corruption bodies and policy-making, providing training to public officials and implementing policies promoting gender diversity, responsiveness, and sensitivity in decision–making positions, in the public and private sectors.</w:t>
      </w:r>
    </w:p>
    <w:p w14:paraId="694A466A" w14:textId="77777777" w:rsidR="00E43B54" w:rsidRPr="000A4D29" w:rsidRDefault="00E43B54" w:rsidP="00E43B54">
      <w:pPr>
        <w:numPr>
          <w:ilvl w:val="0"/>
          <w:numId w:val="48"/>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Audit anti-corruption strategies and institutions for gender responsiveness.</w:t>
      </w:r>
    </w:p>
    <w:p w14:paraId="617C4099" w14:textId="77777777" w:rsidR="00E43B54" w:rsidRPr="000A4D29" w:rsidRDefault="00E43B54" w:rsidP="00E43B54">
      <w:pPr>
        <w:numPr>
          <w:ilvl w:val="0"/>
          <w:numId w:val="48"/>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Integrate a gender dimension into national and sectoral anti-corruption risk evaluation processes.</w:t>
      </w:r>
    </w:p>
    <w:p w14:paraId="76C72397" w14:textId="77777777" w:rsidR="00E43B54" w:rsidRPr="000A4D29" w:rsidRDefault="00E43B54" w:rsidP="00E43B54">
      <w:pPr>
        <w:numPr>
          <w:ilvl w:val="0"/>
          <w:numId w:val="48"/>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Adopt Gender Responsive Budgeting as a means to promote gender equality in anti-corruption initiatives.</w:t>
      </w:r>
    </w:p>
    <w:p w14:paraId="50AD5B47" w14:textId="77777777" w:rsidR="00E43B54" w:rsidRPr="000A4D29" w:rsidRDefault="00E43B54" w:rsidP="00E43B54">
      <w:pPr>
        <w:numPr>
          <w:ilvl w:val="0"/>
          <w:numId w:val="48"/>
        </w:numPr>
        <w:spacing w:after="0"/>
        <w:jc w:val="both"/>
        <w:rPr>
          <w:rFonts w:ascii="Inter" w:eastAsia="Inter" w:hAnsi="Inter" w:cs="Inter"/>
          <w:sz w:val="24"/>
          <w:szCs w:val="24"/>
          <w:lang w:val="en-US"/>
        </w:rPr>
      </w:pPr>
      <w:r w:rsidRPr="000A4D29">
        <w:rPr>
          <w:rFonts w:ascii="Inter" w:eastAsia="Inter" w:hAnsi="Inter" w:cs="Inter"/>
          <w:sz w:val="24"/>
          <w:szCs w:val="24"/>
          <w:lang w:val="en-US"/>
        </w:rPr>
        <w:t>Collaborate with civil society organizations, academics and other stakeholders with expertise in mainstreaming gender and/or focusing on introducing gender in anti-corruption efforts.</w:t>
      </w:r>
    </w:p>
    <w:p w14:paraId="2593A390" w14:textId="77777777" w:rsidR="00E43B54" w:rsidRPr="000A4D29" w:rsidRDefault="00E43B54" w:rsidP="00E43B54">
      <w:pPr>
        <w:spacing w:after="0"/>
        <w:jc w:val="both"/>
        <w:rPr>
          <w:rFonts w:ascii="Inter" w:eastAsia="Inter" w:hAnsi="Inter" w:cs="Inter"/>
          <w:sz w:val="24"/>
          <w:szCs w:val="24"/>
          <w:lang w:val="en-US"/>
        </w:rPr>
      </w:pPr>
    </w:p>
    <w:p w14:paraId="2BF68CF4" w14:textId="77777777" w:rsidR="00E43B54" w:rsidRPr="000A4D29" w:rsidRDefault="00E43B54" w:rsidP="00E43B54">
      <w:pPr>
        <w:numPr>
          <w:ilvl w:val="0"/>
          <w:numId w:val="51"/>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More gender-disaggregated data</w:t>
      </w:r>
    </w:p>
    <w:p w14:paraId="2C8A249D" w14:textId="3ED6A5F0" w:rsidR="00E43B54" w:rsidRPr="000A4D29" w:rsidRDefault="00E43B54" w:rsidP="00E43B54">
      <w:pPr>
        <w:numPr>
          <w:ilvl w:val="0"/>
          <w:numId w:val="44"/>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Conduct research on the impacts of gender on corruption, analyze its impact at sectoral and national levels, and collect gender-disaggregated data to inform anti-corruption work, policies and institutions.</w:t>
      </w:r>
    </w:p>
    <w:p w14:paraId="4AAB68CF" w14:textId="77777777" w:rsidR="00E43B54" w:rsidRPr="000A4D29" w:rsidRDefault="00E43B54" w:rsidP="00E43B54">
      <w:pPr>
        <w:numPr>
          <w:ilvl w:val="0"/>
          <w:numId w:val="44"/>
        </w:numPr>
        <w:spacing w:after="0"/>
        <w:jc w:val="both"/>
        <w:rPr>
          <w:rFonts w:ascii="Inter" w:eastAsia="Inter" w:hAnsi="Inter" w:cs="Inter"/>
          <w:sz w:val="24"/>
          <w:szCs w:val="24"/>
          <w:lang w:val="en-US"/>
        </w:rPr>
      </w:pPr>
      <w:r w:rsidRPr="000A4D29">
        <w:rPr>
          <w:rFonts w:ascii="Inter" w:eastAsia="Inter" w:hAnsi="Inter" w:cs="Inter"/>
          <w:sz w:val="24"/>
          <w:szCs w:val="24"/>
          <w:lang w:val="en-US"/>
        </w:rPr>
        <w:t>Publicly report on gender mainstreaming in anti-corruption efforts to allow for learning from challenges and best practices.</w:t>
      </w:r>
    </w:p>
    <w:p w14:paraId="2CE0BBDF" w14:textId="4BA8C2A9" w:rsidR="00E43B54" w:rsidRPr="000A4D29" w:rsidRDefault="00E43B54" w:rsidP="00E43B54">
      <w:pPr>
        <w:numPr>
          <w:ilvl w:val="0"/>
          <w:numId w:val="44"/>
        </w:numPr>
        <w:spacing w:after="0"/>
        <w:jc w:val="both"/>
        <w:rPr>
          <w:rFonts w:ascii="Inter" w:eastAsia="Inter" w:hAnsi="Inter" w:cs="Inter"/>
          <w:sz w:val="24"/>
          <w:szCs w:val="24"/>
          <w:lang w:val="en-US"/>
        </w:rPr>
      </w:pPr>
      <w:r w:rsidRPr="000A4D29">
        <w:rPr>
          <w:rFonts w:ascii="Inter" w:eastAsia="Inter" w:hAnsi="Inter" w:cs="Inter"/>
          <w:sz w:val="24"/>
          <w:szCs w:val="24"/>
          <w:lang w:val="en-US"/>
        </w:rPr>
        <w:t>Build on the experience and data collected by national and subnational anti-corruption bodies and on development programs, as well as civil society’s expertise.</w:t>
      </w:r>
      <w:r w:rsidRPr="000A4D29">
        <w:rPr>
          <w:rFonts w:ascii="Inter" w:eastAsia="Inter" w:hAnsi="Inter" w:cs="Inter"/>
          <w:sz w:val="24"/>
          <w:szCs w:val="24"/>
          <w:vertAlign w:val="superscript"/>
          <w:lang w:val="en-US"/>
        </w:rPr>
        <w:footnoteReference w:id="24"/>
      </w:r>
    </w:p>
    <w:p w14:paraId="4494185A" w14:textId="77777777" w:rsidR="00E43B54" w:rsidRPr="000A4D29" w:rsidRDefault="00E43B54" w:rsidP="00E43B54">
      <w:pPr>
        <w:spacing w:after="0"/>
        <w:jc w:val="both"/>
        <w:rPr>
          <w:rFonts w:ascii="Inter" w:eastAsia="Inter" w:hAnsi="Inter" w:cs="Inter"/>
          <w:sz w:val="24"/>
          <w:szCs w:val="24"/>
          <w:lang w:val="en-US"/>
        </w:rPr>
      </w:pPr>
    </w:p>
    <w:p w14:paraId="00771355" w14:textId="77777777" w:rsidR="00E43B54" w:rsidRPr="000A4D29" w:rsidRDefault="00E43B54" w:rsidP="00E43B54">
      <w:pPr>
        <w:numPr>
          <w:ilvl w:val="0"/>
          <w:numId w:val="51"/>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Greater stakeholder inclusion</w:t>
      </w:r>
    </w:p>
    <w:p w14:paraId="732D6729" w14:textId="2AA35AC9" w:rsidR="00E43B54" w:rsidRPr="000A4D29" w:rsidRDefault="00E43B54" w:rsidP="00E43B54">
      <w:pPr>
        <w:numPr>
          <w:ilvl w:val="0"/>
          <w:numId w:val="47"/>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In decision-making around gender mainstreaming in anti-corruption, states should ensure relevant stakeholders are involved (including but not limited to gender-related ministries, women’s organisations, gender experts, etc.), and that the voices of women and other marginalized groups are represented in decision-making processes.</w:t>
      </w:r>
    </w:p>
    <w:p w14:paraId="2FDB9472" w14:textId="77777777" w:rsidR="00E43B54" w:rsidRPr="000A4D29" w:rsidRDefault="00E43B54" w:rsidP="00E43B54">
      <w:pPr>
        <w:spacing w:after="0"/>
        <w:jc w:val="both"/>
        <w:rPr>
          <w:rFonts w:ascii="Inter" w:eastAsia="Inter" w:hAnsi="Inter" w:cs="Inter"/>
          <w:sz w:val="24"/>
          <w:szCs w:val="24"/>
          <w:lang w:val="en-US"/>
        </w:rPr>
      </w:pPr>
    </w:p>
    <w:p w14:paraId="15DAA4B8" w14:textId="77777777" w:rsidR="00E43B54" w:rsidRPr="000A4D29" w:rsidRDefault="00E43B54" w:rsidP="00E43B54">
      <w:pPr>
        <w:numPr>
          <w:ilvl w:val="0"/>
          <w:numId w:val="51"/>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Adopt a gender-sensitive approach in the prosecution of corruption, and detect and prosecute sexual corruption</w:t>
      </w:r>
    </w:p>
    <w:p w14:paraId="7FEDEF5F" w14:textId="728A0F9D" w:rsidR="00E43B54" w:rsidRPr="000A4D29" w:rsidRDefault="00E43B54" w:rsidP="00E43B54">
      <w:pPr>
        <w:numPr>
          <w:ilvl w:val="0"/>
          <w:numId w:val="46"/>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 xml:space="preserve">Review existing anti-corruption legislation and regulations around sex as a currency of bribery, with a view to criminalizing sexual corruption. </w:t>
      </w:r>
    </w:p>
    <w:p w14:paraId="6605091E" w14:textId="3585DFDD" w:rsidR="00E43B54" w:rsidRPr="000A4D29" w:rsidRDefault="00E43B54" w:rsidP="00E43B54">
      <w:pPr>
        <w:numPr>
          <w:ilvl w:val="0"/>
          <w:numId w:val="46"/>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lastRenderedPageBreak/>
        <w:t>Provide reporting channels, support, and protection for victims of sexual corruption.</w:t>
      </w:r>
    </w:p>
    <w:p w14:paraId="6A3BBC9B" w14:textId="77777777" w:rsidR="00E43B54" w:rsidRPr="000A4D29" w:rsidRDefault="00E43B54" w:rsidP="00E43B54">
      <w:pPr>
        <w:spacing w:after="0"/>
        <w:jc w:val="both"/>
        <w:rPr>
          <w:rFonts w:ascii="Inter" w:eastAsia="Inter" w:hAnsi="Inter" w:cs="Inter"/>
          <w:sz w:val="24"/>
          <w:szCs w:val="24"/>
          <w:lang w:val="en-US"/>
        </w:rPr>
      </w:pPr>
    </w:p>
    <w:p w14:paraId="10BF780E" w14:textId="734CEBB5" w:rsidR="00E43B54" w:rsidRPr="000A4D29" w:rsidRDefault="00E43B54" w:rsidP="00E43B54">
      <w:pPr>
        <w:numPr>
          <w:ilvl w:val="0"/>
          <w:numId w:val="51"/>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Increase gender mainstreaming in the protection of whistleblowers and other reporting persons</w:t>
      </w:r>
    </w:p>
    <w:p w14:paraId="1C6D5A39" w14:textId="77777777" w:rsidR="00E43B54" w:rsidRPr="000A4D29" w:rsidRDefault="00E43B54" w:rsidP="00E43B54">
      <w:pPr>
        <w:numPr>
          <w:ilvl w:val="0"/>
          <w:numId w:val="42"/>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 xml:space="preserve">Increase awareness on the importance of a gender-sensitive approach to reporting persons and related protections, identifying and highlighting gender-related risks, integrating a gendered dimension to awareness-raising campaigns, and developing gender-sensitive protection measures. </w:t>
      </w:r>
    </w:p>
    <w:p w14:paraId="2A2B0BD5" w14:textId="249AB0C7" w:rsidR="00E43B54" w:rsidRPr="000A4D29" w:rsidRDefault="00E43B54" w:rsidP="00E43B54">
      <w:pPr>
        <w:numPr>
          <w:ilvl w:val="0"/>
          <w:numId w:val="42"/>
        </w:numPr>
        <w:spacing w:after="0"/>
        <w:jc w:val="both"/>
        <w:rPr>
          <w:rFonts w:ascii="Inter" w:eastAsia="Inter" w:hAnsi="Inter" w:cs="Inter"/>
          <w:b/>
          <w:bCs/>
          <w:sz w:val="24"/>
          <w:szCs w:val="24"/>
          <w:lang w:val="en-US"/>
        </w:rPr>
      </w:pPr>
      <w:r w:rsidRPr="000A4D29">
        <w:rPr>
          <w:rFonts w:ascii="Inter" w:eastAsia="Inter" w:hAnsi="Inter" w:cs="Inter"/>
          <w:sz w:val="24"/>
          <w:szCs w:val="24"/>
          <w:lang w:val="en-US"/>
        </w:rPr>
        <w:t>Ensure investigators receive adequate training to take gendered dimensions into consideration throughout the reporting process.</w:t>
      </w:r>
    </w:p>
    <w:p w14:paraId="5071BD06" w14:textId="77777777" w:rsidR="00E43B54" w:rsidRPr="000A4D29" w:rsidRDefault="00E43B54" w:rsidP="00E43B54">
      <w:pPr>
        <w:spacing w:after="0"/>
        <w:jc w:val="both"/>
        <w:rPr>
          <w:rFonts w:ascii="Inter" w:eastAsia="Inter" w:hAnsi="Inter" w:cs="Inter"/>
          <w:b/>
          <w:bCs/>
          <w:sz w:val="24"/>
          <w:szCs w:val="24"/>
          <w:lang w:val="en-US"/>
        </w:rPr>
      </w:pPr>
    </w:p>
    <w:p w14:paraId="20653F57" w14:textId="0BFF5FCE" w:rsidR="00E43B54" w:rsidRPr="003F4B7C" w:rsidRDefault="00E43B54" w:rsidP="003F4B7C">
      <w:pPr>
        <w:jc w:val="both"/>
        <w:rPr>
          <w:rFonts w:asciiTheme="majorHAnsi" w:eastAsia="Inter" w:hAnsiTheme="majorHAnsi" w:cs="Inter"/>
          <w:b/>
          <w:bCs/>
          <w:sz w:val="26"/>
          <w:szCs w:val="26"/>
          <w:lang w:val="en-US"/>
        </w:rPr>
      </w:pPr>
      <w:r w:rsidRPr="003F4B7C">
        <w:rPr>
          <w:rFonts w:asciiTheme="majorHAnsi" w:eastAsia="Inter" w:hAnsiTheme="majorHAnsi" w:cs="Inter"/>
          <w:b/>
          <w:bCs/>
          <w:sz w:val="26"/>
          <w:szCs w:val="26"/>
          <w:lang w:val="en-US"/>
        </w:rPr>
        <w:t>Recommendations for Civil Society</w:t>
      </w:r>
    </w:p>
    <w:p w14:paraId="673BBD3A" w14:textId="10E0EA2C" w:rsidR="00E43B54" w:rsidRPr="000A4D29" w:rsidRDefault="00E43B54" w:rsidP="00E43B54">
      <w:pPr>
        <w:spacing w:after="0"/>
        <w:jc w:val="both"/>
        <w:rPr>
          <w:rFonts w:ascii="Inter" w:eastAsia="Inter" w:hAnsi="Inter" w:cs="Inter"/>
          <w:sz w:val="24"/>
          <w:szCs w:val="24"/>
          <w:lang w:val="en-US"/>
        </w:rPr>
      </w:pPr>
      <w:r w:rsidRPr="000A4D29">
        <w:rPr>
          <w:rFonts w:ascii="Inter" w:eastAsia="Inter" w:hAnsi="Inter" w:cs="Inter"/>
          <w:sz w:val="24"/>
          <w:szCs w:val="24"/>
          <w:lang w:val="en-US"/>
        </w:rPr>
        <w:t>Civil society actors also have an important role to play in supporting the integration of gender into anti-corruption efforts; they play an invaluable role in providing the necessary expertise and guidance, as well as lobbying governments on gender mainstreaming in anti-corruption efforts. This can be done through:</w:t>
      </w:r>
    </w:p>
    <w:p w14:paraId="79D744FD" w14:textId="77777777" w:rsidR="00E43B54" w:rsidRPr="000A4D29" w:rsidRDefault="00E43B54" w:rsidP="00E43B54">
      <w:pPr>
        <w:spacing w:after="0"/>
        <w:jc w:val="both"/>
        <w:rPr>
          <w:rFonts w:ascii="Inter" w:eastAsia="Inter" w:hAnsi="Inter" w:cs="Inter"/>
          <w:sz w:val="24"/>
          <w:szCs w:val="24"/>
          <w:lang w:val="en-US"/>
        </w:rPr>
      </w:pPr>
    </w:p>
    <w:p w14:paraId="527EA5D4" w14:textId="28B825DE" w:rsidR="00E43B54" w:rsidRPr="000A4D29" w:rsidRDefault="00E43B54" w:rsidP="00E43B54">
      <w:pPr>
        <w:numPr>
          <w:ilvl w:val="0"/>
          <w:numId w:val="52"/>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 xml:space="preserve">Data collection </w:t>
      </w:r>
    </w:p>
    <w:p w14:paraId="5FACA2E3" w14:textId="77777777" w:rsidR="00E43B54" w:rsidRPr="000A4D29" w:rsidRDefault="00E43B54" w:rsidP="00E43B54">
      <w:pPr>
        <w:numPr>
          <w:ilvl w:val="0"/>
          <w:numId w:val="43"/>
        </w:numPr>
        <w:spacing w:after="0"/>
        <w:jc w:val="both"/>
        <w:rPr>
          <w:rFonts w:ascii="Inter" w:eastAsia="Inter" w:hAnsi="Inter" w:cs="Inter"/>
          <w:sz w:val="24"/>
          <w:szCs w:val="24"/>
          <w:lang w:val="en-US"/>
        </w:rPr>
      </w:pPr>
      <w:r w:rsidRPr="000A4D29">
        <w:rPr>
          <w:rFonts w:ascii="Inter" w:eastAsia="Inter" w:hAnsi="Inter" w:cs="Inter"/>
          <w:sz w:val="24"/>
          <w:szCs w:val="24"/>
          <w:lang w:val="en-US"/>
        </w:rPr>
        <w:t>Collecting gender-disaggregated data through regular surveys and reporting cycles, and compiling reports to present to government stakeholders.</w:t>
      </w:r>
    </w:p>
    <w:p w14:paraId="7CF1B561" w14:textId="77777777" w:rsidR="00E43B54" w:rsidRPr="000A4D29" w:rsidRDefault="00E43B54" w:rsidP="00E43B54">
      <w:pPr>
        <w:numPr>
          <w:ilvl w:val="0"/>
          <w:numId w:val="43"/>
        </w:numPr>
        <w:spacing w:after="0"/>
        <w:jc w:val="both"/>
        <w:rPr>
          <w:rFonts w:ascii="Inter" w:eastAsia="Inter" w:hAnsi="Inter" w:cs="Inter"/>
          <w:sz w:val="24"/>
          <w:szCs w:val="24"/>
          <w:lang w:val="en-US"/>
        </w:rPr>
      </w:pPr>
      <w:r w:rsidRPr="000A4D29">
        <w:rPr>
          <w:rFonts w:ascii="Inter" w:eastAsia="Inter" w:hAnsi="Inter" w:cs="Inter"/>
          <w:sz w:val="24"/>
          <w:szCs w:val="24"/>
          <w:lang w:val="en-US"/>
        </w:rPr>
        <w:t>Creating observatories on gender and corruption-related issues, putting emphasis on data sovereignty and ethical data governance to protect communities and survivors.</w:t>
      </w:r>
    </w:p>
    <w:p w14:paraId="5FC83F0D" w14:textId="77777777" w:rsidR="00E43B54" w:rsidRPr="000A4D29" w:rsidRDefault="00E43B54" w:rsidP="00E43B54">
      <w:pPr>
        <w:spacing w:after="0"/>
        <w:jc w:val="both"/>
        <w:rPr>
          <w:rFonts w:ascii="Inter" w:eastAsia="Inter" w:hAnsi="Inter" w:cs="Inter"/>
          <w:sz w:val="24"/>
          <w:szCs w:val="24"/>
          <w:lang w:val="en-US"/>
        </w:rPr>
      </w:pPr>
    </w:p>
    <w:p w14:paraId="2027B675" w14:textId="3B9170C4" w:rsidR="00E43B54" w:rsidRPr="000A4D29" w:rsidRDefault="00E43B54" w:rsidP="00E43B54">
      <w:pPr>
        <w:numPr>
          <w:ilvl w:val="0"/>
          <w:numId w:val="52"/>
        </w:numPr>
        <w:spacing w:after="0"/>
        <w:jc w:val="both"/>
        <w:rPr>
          <w:rFonts w:ascii="Inter" w:eastAsia="Inter" w:hAnsi="Inter" w:cs="Inter"/>
          <w:b/>
          <w:bCs/>
          <w:sz w:val="24"/>
          <w:szCs w:val="24"/>
          <w:lang w:val="en-US"/>
        </w:rPr>
      </w:pPr>
      <w:r w:rsidRPr="000A4D29">
        <w:rPr>
          <w:rFonts w:ascii="Inter" w:eastAsia="Inter" w:hAnsi="Inter" w:cs="Inter"/>
          <w:b/>
          <w:bCs/>
          <w:sz w:val="24"/>
          <w:szCs w:val="24"/>
          <w:lang w:val="en-US"/>
        </w:rPr>
        <w:t xml:space="preserve">Policy advice and capacity building to governments </w:t>
      </w:r>
    </w:p>
    <w:p w14:paraId="2E8F6D16" w14:textId="77777777" w:rsidR="00E43B54" w:rsidRPr="000A4D29" w:rsidRDefault="00E43B54" w:rsidP="00E43B54">
      <w:pPr>
        <w:numPr>
          <w:ilvl w:val="0"/>
          <w:numId w:val="50"/>
        </w:numPr>
        <w:spacing w:after="0"/>
        <w:jc w:val="both"/>
        <w:rPr>
          <w:rFonts w:ascii="Inter" w:eastAsia="Inter" w:hAnsi="Inter" w:cs="Inter"/>
          <w:sz w:val="24"/>
          <w:szCs w:val="24"/>
          <w:lang w:val="en-US"/>
        </w:rPr>
      </w:pPr>
      <w:r w:rsidRPr="000A4D29">
        <w:rPr>
          <w:rFonts w:ascii="Inter" w:eastAsia="Inter" w:hAnsi="Inter" w:cs="Inter"/>
          <w:sz w:val="24"/>
          <w:szCs w:val="24"/>
          <w:lang w:val="en-US"/>
        </w:rPr>
        <w:t>Providing expertise and support by training public servants on gender mainstreaming in anti-corruption efforts.</w:t>
      </w:r>
    </w:p>
    <w:p w14:paraId="4F58C2E0" w14:textId="77777777" w:rsidR="00E43B54" w:rsidRPr="000A4D29" w:rsidRDefault="00E43B54" w:rsidP="00E43B54">
      <w:pPr>
        <w:spacing w:after="0"/>
        <w:jc w:val="both"/>
        <w:rPr>
          <w:rFonts w:ascii="Inter" w:eastAsia="Inter" w:hAnsi="Inter" w:cs="Inter"/>
          <w:sz w:val="24"/>
          <w:szCs w:val="24"/>
          <w:lang w:val="en-US"/>
        </w:rPr>
      </w:pPr>
    </w:p>
    <w:p w14:paraId="1B38FC12" w14:textId="0E3F11CD" w:rsidR="00E43B54" w:rsidRPr="000A4D29" w:rsidRDefault="00E43B54" w:rsidP="00E43B54">
      <w:pPr>
        <w:numPr>
          <w:ilvl w:val="0"/>
          <w:numId w:val="52"/>
        </w:numPr>
        <w:spacing w:after="0"/>
        <w:jc w:val="both"/>
        <w:rPr>
          <w:rFonts w:ascii="Inter" w:eastAsia="Inter" w:hAnsi="Inter" w:cs="Inter"/>
          <w:sz w:val="24"/>
          <w:szCs w:val="24"/>
          <w:lang w:val="en-US"/>
        </w:rPr>
      </w:pPr>
      <w:r w:rsidRPr="000A4D29">
        <w:rPr>
          <w:rFonts w:ascii="Inter" w:eastAsia="Inter" w:hAnsi="Inter" w:cs="Inter"/>
          <w:b/>
          <w:bCs/>
          <w:sz w:val="24"/>
          <w:szCs w:val="24"/>
          <w:lang w:val="en-US"/>
        </w:rPr>
        <w:t>Sharing best practices and enhancing cooperation among civil society actors at the international level</w:t>
      </w:r>
    </w:p>
    <w:p w14:paraId="6639E5BB" w14:textId="6474030C" w:rsidR="0064600C" w:rsidRPr="000A4D29" w:rsidRDefault="00E43B54" w:rsidP="0071751D">
      <w:pPr>
        <w:numPr>
          <w:ilvl w:val="0"/>
          <w:numId w:val="50"/>
        </w:numPr>
        <w:spacing w:after="0"/>
        <w:jc w:val="both"/>
        <w:rPr>
          <w:rFonts w:ascii="Inter" w:eastAsia="Inter" w:hAnsi="Inter" w:cs="Inter"/>
          <w:sz w:val="24"/>
          <w:szCs w:val="24"/>
          <w:lang w:val="en-US"/>
        </w:rPr>
      </w:pPr>
      <w:r w:rsidRPr="000A4D29">
        <w:rPr>
          <w:rFonts w:ascii="Inter" w:eastAsia="Inter" w:hAnsi="Inter" w:cs="Inter"/>
          <w:sz w:val="24"/>
          <w:szCs w:val="24"/>
          <w:lang w:val="en-US"/>
        </w:rPr>
        <w:t>Strengthen the knowledge and capacities of both gender and anti-corruption expert organizations on the interlinkages between gender and corruption.</w:t>
      </w:r>
    </w:p>
    <w:sectPr w:rsidR="0064600C" w:rsidRPr="000A4D29" w:rsidSect="00BC2368">
      <w:headerReference w:type="default" r:id="rId8"/>
      <w:footerReference w:type="default" r:id="rId9"/>
      <w:headerReference w:type="first" r:id="rId10"/>
      <w:footerReference w:type="first" r:id="rId11"/>
      <w:pgSz w:w="11906" w:h="16838"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A231A" w14:textId="77777777" w:rsidR="005174A7" w:rsidRDefault="005174A7" w:rsidP="00F04F4E">
      <w:pPr>
        <w:spacing w:after="0"/>
      </w:pPr>
      <w:r>
        <w:separator/>
      </w:r>
    </w:p>
  </w:endnote>
  <w:endnote w:type="continuationSeparator" w:id="0">
    <w:p w14:paraId="175CBC2F" w14:textId="77777777" w:rsidR="005174A7" w:rsidRDefault="005174A7" w:rsidP="00F04F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E6FBCB79-511B-A044-A451-4B7AE49E6E1E}"/>
  </w:font>
  <w:font w:name="Times New Roman">
    <w:panose1 w:val="02020603050405020304"/>
    <w:charset w:val="00"/>
    <w:family w:val="roman"/>
    <w:pitch w:val="variable"/>
    <w:sig w:usb0="E0002EFF" w:usb1="C000785B" w:usb2="00000009" w:usb3="00000000" w:csb0="000001FF" w:csb1="00000000"/>
    <w:embedRegular r:id="rId2" w:fontKey="{62D05795-5661-1F4D-A247-206313CC0D98}"/>
    <w:embedBold r:id="rId3" w:fontKey="{6D1BBEF6-EE58-D846-B6D5-F38137E32B0A}"/>
    <w:embedItalic r:id="rId4" w:fontKey="{6E762A3E-8697-8547-B742-14734443D7C2}"/>
  </w:font>
  <w:font w:name="Courier New">
    <w:panose1 w:val="02070309020205020404"/>
    <w:charset w:val="00"/>
    <w:family w:val="modern"/>
    <w:pitch w:val="fixed"/>
    <w:sig w:usb0="E0002AFF" w:usb1="C0007843" w:usb2="00000009" w:usb3="00000000" w:csb0="000001FF" w:csb1="00000000"/>
    <w:embedRegular r:id="rId5" w:fontKey="{36F249AA-845F-1D4F-A245-8C028FFB5FF3}"/>
  </w:font>
  <w:font w:name="Wingdings">
    <w:panose1 w:val="05000000000000000000"/>
    <w:charset w:val="4D"/>
    <w:family w:val="decorative"/>
    <w:pitch w:val="variable"/>
    <w:sig w:usb0="00000003" w:usb1="00000000" w:usb2="00000000" w:usb3="00000000" w:csb0="80000001" w:csb1="00000000"/>
    <w:embedRegular r:id="rId6" w:fontKey="{0A43D5BD-73C4-564A-B478-5164BE89BAC8}"/>
  </w:font>
  <w:font w:name="Calibri">
    <w:panose1 w:val="020F0502020204030204"/>
    <w:charset w:val="00"/>
    <w:family w:val="swiss"/>
    <w:pitch w:val="variable"/>
    <w:sig w:usb0="E0002AFF" w:usb1="C000247B" w:usb2="00000009" w:usb3="00000000" w:csb0="000001FF" w:csb1="00000000"/>
    <w:embedRegular r:id="rId7" w:fontKey="{8C62F6A9-CAB0-F44C-9337-F09DD87C1CAA}"/>
    <w:embedBold r:id="rId8" w:fontKey="{3E1057A9-E090-464B-847C-B6B96E856C65}"/>
  </w:font>
  <w:font w:name="Noto Sans">
    <w:panose1 w:val="020B0502040504020204"/>
    <w:charset w:val="00"/>
    <w:family w:val="swiss"/>
    <w:pitch w:val="variable"/>
    <w:sig w:usb0="E00082FF" w:usb1="400078FF" w:usb2="00000021" w:usb3="00000000" w:csb0="0000019F" w:csb1="00000000"/>
    <w:embedRegular r:id="rId9" w:fontKey="{37F62E12-9C8C-9F4A-9D81-18A874E63472}"/>
  </w:font>
  <w:font w:name="Inter">
    <w:altName w:val="Calibri"/>
    <w:panose1 w:val="020B0604020202020204"/>
    <w:charset w:val="00"/>
    <w:family w:val="auto"/>
    <w:pitch w:val="default"/>
  </w:font>
  <w:font w:name="Lexend">
    <w:altName w:val="Calibri"/>
    <w:panose1 w:val="020B0604020202020204"/>
    <w:charset w:val="00"/>
    <w:family w:val="auto"/>
    <w:pitch w:val="default"/>
  </w:font>
  <w:font w:name="Arial Narrow">
    <w:panose1 w:val="020B0606020202030204"/>
    <w:charset w:val="00"/>
    <w:family w:val="swiss"/>
    <w:pitch w:val="variable"/>
    <w:sig w:usb0="00000287" w:usb1="00000800" w:usb2="00000000" w:usb3="00000000" w:csb0="0000009F" w:csb1="00000000"/>
    <w:embedRegular r:id="rId16" w:fontKey="{EC38A0B1-F8A2-1040-9D70-B4F4B6980129}"/>
  </w:font>
  <w:font w:name="Source Code Pro">
    <w:panose1 w:val="020B0509030403020204"/>
    <w:charset w:val="00"/>
    <w:family w:val="modern"/>
    <w:pitch w:val="fixed"/>
    <w:sig w:usb0="200002F7" w:usb1="02003803" w:usb2="00000000" w:usb3="00000000" w:csb0="0000019F" w:csb1="00000000"/>
  </w:font>
  <w:font w:name="Consolas">
    <w:panose1 w:val="020B0609020204030204"/>
    <w:charset w:val="00"/>
    <w:family w:val="modern"/>
    <w:pitch w:val="fixed"/>
    <w:sig w:usb0="E10002FF" w:usb1="4000FCFF" w:usb2="00000009" w:usb3="00000000" w:csb0="0000019F" w:csb1="00000000"/>
    <w:embedRegular r:id="rId17" w:fontKey="{47944AAF-2B2B-1647-9D9E-DCAE5034F004}"/>
  </w:font>
  <w:font w:name="Tahoma">
    <w:panose1 w:val="020B0604030504040204"/>
    <w:charset w:val="00"/>
    <w:family w:val="swiss"/>
    <w:pitch w:val="variable"/>
    <w:sig w:usb0="E1002EFF" w:usb1="C000605B" w:usb2="00000029" w:usb3="00000000" w:csb0="000101FF" w:csb1="00000000"/>
    <w:embedRegular r:id="rId18" w:fontKey="{D6CA12EA-D5E5-674D-80D4-04D7C0D8E955}"/>
  </w:font>
  <w:font w:name="Cambria">
    <w:panose1 w:val="02040503050406030204"/>
    <w:charset w:val="00"/>
    <w:family w:val="roman"/>
    <w:pitch w:val="variable"/>
    <w:sig w:usb0="E00002FF" w:usb1="400004FF" w:usb2="00000000" w:usb3="00000000" w:csb0="0000019F" w:csb1="00000000"/>
    <w:embedRegular r:id="rId19" w:fontKey="{410004AF-7FE0-8A4D-9B28-F0DCC86FEB42}"/>
  </w:font>
  <w:font w:name="Arial">
    <w:panose1 w:val="020B0604020202020204"/>
    <w:charset w:val="00"/>
    <w:family w:val="swiss"/>
    <w:pitch w:val="variable"/>
    <w:sig w:usb0="E0002AFF" w:usb1="C0007843" w:usb2="00000009" w:usb3="00000000" w:csb0="000001FF" w:csb1="00000000"/>
    <w:embedRegular r:id="rId20" w:fontKey="{7034C8B7-B065-1A43-B2EC-7EC18C921265}"/>
  </w:font>
  <w:font w:name="Gadugi">
    <w:panose1 w:val="020B0502040204020203"/>
    <w:charset w:val="00"/>
    <w:family w:val="swiss"/>
    <w:pitch w:val="variable"/>
    <w:sig w:usb0="80000003" w:usb1="02000000" w:usb2="00003000" w:usb3="00000000" w:csb0="00000001" w:csb1="00000000"/>
    <w:embedRegular r:id="rId21" w:fontKey="{774FC439-EA89-A440-A0D9-28AE8B02F489}"/>
  </w:font>
  <w:font w:name="Roboto">
    <w:panose1 w:val="020B0604020202020204"/>
    <w:charset w:val="00"/>
    <w:family w:val="auto"/>
    <w:pitch w:val="variable"/>
    <w:sig w:usb0="E0000AFF" w:usb1="5000217F" w:usb2="00000021" w:usb3="00000000" w:csb0="0000019F" w:csb1="00000000"/>
    <w:embedRegular r:id="rId22" w:fontKey="{9631999C-6108-DB44-A4CE-7FDFA50A44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AC06" w14:textId="77777777" w:rsidR="0074030F" w:rsidRPr="00CE4209" w:rsidRDefault="00CE4209" w:rsidP="00CE4209">
    <w:pPr>
      <w:pStyle w:val="Footer"/>
    </w:pPr>
    <w:r w:rsidRPr="00CE4209">
      <w:rPr>
        <w:rStyle w:val="PageNumber"/>
      </w:rPr>
      <w:fldChar w:fldCharType="begin"/>
    </w:r>
    <w:r w:rsidRPr="00CE4209">
      <w:rPr>
        <w:rStyle w:val="PageNumber"/>
      </w:rPr>
      <w:instrText xml:space="preserve"> PAGE </w:instrText>
    </w:r>
    <w:r w:rsidRPr="00CE4209">
      <w:rPr>
        <w:rStyle w:val="PageNumber"/>
      </w:rPr>
      <w:fldChar w:fldCharType="separate"/>
    </w:r>
    <w:r w:rsidR="00155435">
      <w:rPr>
        <w:rStyle w:val="PageNumber"/>
        <w:noProof/>
      </w:rPr>
      <w:t>1</w:t>
    </w:r>
    <w:r w:rsidRPr="00CE420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57D9" w14:textId="77777777" w:rsidR="00D7094D" w:rsidRDefault="00D7094D" w:rsidP="00D7094D">
    <w:pPr>
      <w:pStyle w:val="Footer"/>
    </w:pPr>
    <w:r w:rsidRPr="00CE4209">
      <w:rPr>
        <w:rStyle w:val="PageNumber"/>
      </w:rPr>
      <w:fldChar w:fldCharType="begin"/>
    </w:r>
    <w:r w:rsidRPr="00CE4209">
      <w:rPr>
        <w:rStyle w:val="PageNumber"/>
      </w:rPr>
      <w:instrText xml:space="preserve"> PAGE </w:instrText>
    </w:r>
    <w:r w:rsidRPr="00CE4209">
      <w:rPr>
        <w:rStyle w:val="PageNumber"/>
      </w:rPr>
      <w:fldChar w:fldCharType="separate"/>
    </w:r>
    <w:r>
      <w:rPr>
        <w:rStyle w:val="PageNumber"/>
      </w:rPr>
      <w:t>2</w:t>
    </w:r>
    <w:r w:rsidRPr="00CE420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B408" w14:textId="77777777" w:rsidR="005174A7" w:rsidRDefault="005174A7" w:rsidP="00F04F4E">
      <w:pPr>
        <w:spacing w:after="0"/>
      </w:pPr>
      <w:r>
        <w:separator/>
      </w:r>
    </w:p>
  </w:footnote>
  <w:footnote w:type="continuationSeparator" w:id="0">
    <w:p w14:paraId="74BA4151" w14:textId="77777777" w:rsidR="005174A7" w:rsidRDefault="005174A7" w:rsidP="00F04F4E">
      <w:pPr>
        <w:spacing w:after="0"/>
      </w:pPr>
      <w:r>
        <w:continuationSeparator/>
      </w:r>
    </w:p>
  </w:footnote>
  <w:footnote w:id="1">
    <w:p w14:paraId="155DF412" w14:textId="29F76C36" w:rsidR="00BC2368" w:rsidRPr="0085245E" w:rsidRDefault="008B62F6" w:rsidP="00BC2368">
      <w:pPr>
        <w:pBdr>
          <w:top w:val="nil"/>
          <w:left w:val="nil"/>
          <w:bottom w:val="nil"/>
          <w:right w:val="nil"/>
          <w:between w:val="nil"/>
        </w:pBdr>
        <w:spacing w:after="0" w:line="240" w:lineRule="auto"/>
        <w:rPr>
          <w:rFonts w:eastAsia="Cambria" w:cs="Calibri"/>
          <w:color w:val="000000" w:themeColor="text1"/>
          <w:szCs w:val="20"/>
        </w:rPr>
      </w:pPr>
      <w:r w:rsidRPr="00346C2E">
        <w:rPr>
          <w:rStyle w:val="FootnoteReference"/>
          <w:rFonts w:cs="Calibri"/>
          <w:color w:val="000000" w:themeColor="text1"/>
          <w:szCs w:val="20"/>
        </w:rPr>
        <w:footnoteRef/>
      </w:r>
      <w:r w:rsidR="00012B88">
        <w:rPr>
          <w:rFonts w:cs="Arial"/>
          <w:color w:val="000000"/>
          <w:szCs w:val="20"/>
        </w:rPr>
        <w:t xml:space="preserve"> </w:t>
      </w:r>
      <w:r w:rsidR="0085245E" w:rsidRPr="00607B40">
        <w:rPr>
          <w:rStyle w:val="FootnoteReference"/>
          <w:rFonts w:cs="Calibri"/>
          <w:color w:val="000000" w:themeColor="text1"/>
          <w:szCs w:val="20"/>
        </w:rPr>
        <w:footnoteRef/>
      </w:r>
      <w:r w:rsidR="0085245E" w:rsidRPr="00607B40">
        <w:rPr>
          <w:rFonts w:eastAsia="Cambria" w:cs="Calibri"/>
          <w:color w:val="000000" w:themeColor="text1"/>
          <w:szCs w:val="20"/>
        </w:rPr>
        <w:t xml:space="preserve"> The Global Civil Society Coalition for the UNCAC’s Working Group on Gender, Inclusion and Corruption comprises of over 200 members, </w:t>
      </w:r>
      <w:r w:rsidR="0085245E" w:rsidRPr="00607B40">
        <w:rPr>
          <w:color w:val="000000" w:themeColor="text1"/>
          <w:szCs w:val="20"/>
        </w:rPr>
        <w:t>from civil society organizations, activists, academia and other stakeholders.</w:t>
      </w:r>
      <w:r w:rsidR="0085245E" w:rsidRPr="00607B40">
        <w:rPr>
          <w:rFonts w:eastAsia="Cambria" w:cs="Calibri"/>
          <w:color w:val="000000" w:themeColor="text1"/>
          <w:szCs w:val="20"/>
        </w:rPr>
        <w:t xml:space="preserve"> </w:t>
      </w:r>
      <w:r w:rsidR="0085245E">
        <w:rPr>
          <w:rFonts w:eastAsia="Cambria" w:cs="Calibri"/>
          <w:color w:val="000000" w:themeColor="text1"/>
          <w:szCs w:val="20"/>
        </w:rPr>
        <w:t>It</w:t>
      </w:r>
      <w:r w:rsidR="0085245E" w:rsidRPr="00607B40">
        <w:rPr>
          <w:rFonts w:eastAsia="Cambria" w:cs="Calibri"/>
          <w:color w:val="000000" w:themeColor="text1"/>
          <w:szCs w:val="20"/>
        </w:rPr>
        <w:t xml:space="preserve"> seeks to influence and inspire others to pay more attention to gender and inclusion in anti-corruption policy and practice, share ideas on new research questions for academics to undertake around gender and corruption, and advance for better data on gender and corruption. UNCAC Coalition. “Gender, Inclusion and Corruption Working Group.” UNCAC Coalition, accessed 20 November 2025. </w:t>
      </w:r>
      <w:hyperlink r:id="rId1">
        <w:r w:rsidR="0085245E" w:rsidRPr="00607B40">
          <w:rPr>
            <w:rStyle w:val="Hyperlink"/>
            <w:rFonts w:eastAsia="Cambria" w:cs="Calibri"/>
            <w:szCs w:val="20"/>
          </w:rPr>
          <w:t>https://uncaccoalition.org/get-involved/working-groups/gender-inclusion-corruption/</w:t>
        </w:r>
      </w:hyperlink>
      <w:r w:rsidR="0085245E" w:rsidRPr="00607B40">
        <w:rPr>
          <w:rFonts w:eastAsia="Cambria" w:cs="Calibri"/>
          <w:color w:val="000000" w:themeColor="text1"/>
          <w:szCs w:val="20"/>
        </w:rPr>
        <w:t>.</w:t>
      </w:r>
    </w:p>
  </w:footnote>
  <w:footnote w:id="2">
    <w:p w14:paraId="4EF9F329"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Kelsi Caywood and Gary </w:t>
      </w:r>
      <w:proofErr w:type="spellStart"/>
      <w:r w:rsidRPr="0088609C">
        <w:rPr>
          <w:szCs w:val="20"/>
        </w:rPr>
        <w:t>Darmdstadt</w:t>
      </w:r>
      <w:proofErr w:type="spellEnd"/>
      <w:r w:rsidRPr="0088609C">
        <w:rPr>
          <w:szCs w:val="20"/>
        </w:rPr>
        <w:t xml:space="preserve">, “Gender mainstreaming at 25 years: Toward an inclusive, collaborative, and structured research agenda,” Journal of global health, 2024. </w:t>
      </w:r>
      <w:hyperlink r:id="rId2">
        <w:r w:rsidRPr="0088609C">
          <w:rPr>
            <w:color w:val="1155CC"/>
            <w:szCs w:val="20"/>
            <w:u w:val="single"/>
          </w:rPr>
          <w:t>https://jogh.org/2024/jogh-14-04011/</w:t>
        </w:r>
      </w:hyperlink>
      <w:r w:rsidRPr="0088609C">
        <w:rPr>
          <w:szCs w:val="20"/>
        </w:rPr>
        <w:t xml:space="preserve">. </w:t>
      </w:r>
    </w:p>
  </w:footnote>
  <w:footnote w:id="3">
    <w:p w14:paraId="65F25B76" w14:textId="77777777" w:rsidR="00E43B54" w:rsidRPr="0088609C" w:rsidRDefault="00E43B54" w:rsidP="00E43B54">
      <w:pPr>
        <w:spacing w:after="0" w:line="240" w:lineRule="auto"/>
        <w:rPr>
          <w:rFonts w:eastAsia="Gadugi" w:cs="Gadugi"/>
          <w:szCs w:val="20"/>
        </w:rPr>
      </w:pPr>
      <w:r w:rsidRPr="0088609C">
        <w:rPr>
          <w:szCs w:val="20"/>
          <w:vertAlign w:val="superscript"/>
        </w:rPr>
        <w:footnoteRef/>
      </w:r>
      <w:r w:rsidRPr="0088609C">
        <w:rPr>
          <w:rFonts w:eastAsia="Gadugi" w:cs="Gadugi"/>
          <w:szCs w:val="20"/>
        </w:rPr>
        <w:t xml:space="preserve"> Ibid.</w:t>
      </w:r>
    </w:p>
  </w:footnote>
  <w:footnote w:id="4">
    <w:p w14:paraId="204138FA" w14:textId="2D5BD218" w:rsidR="005D3342" w:rsidRPr="0088609C" w:rsidRDefault="00E43B54" w:rsidP="00E43B54">
      <w:pPr>
        <w:spacing w:after="0" w:line="240" w:lineRule="auto"/>
        <w:rPr>
          <w:szCs w:val="20"/>
        </w:rPr>
      </w:pPr>
      <w:r w:rsidRPr="0088609C">
        <w:rPr>
          <w:szCs w:val="20"/>
          <w:vertAlign w:val="superscript"/>
        </w:rPr>
        <w:footnoteRef/>
      </w:r>
      <w:r w:rsidRPr="0088609C">
        <w:rPr>
          <w:szCs w:val="20"/>
        </w:rPr>
        <w:t xml:space="preserve"> UNCAC Coalition. “Promoting a gender-responsive and inclusive approach to anti-corruption,” UNCAC Coalition Working Group on Gender, Inclusion and Corruption, 2023. </w:t>
      </w:r>
      <w:hyperlink r:id="rId3">
        <w:r w:rsidRPr="0088609C">
          <w:rPr>
            <w:color w:val="1155CC"/>
            <w:szCs w:val="20"/>
            <w:u w:val="single"/>
          </w:rPr>
          <w:t>https://uncaccoalition.org/wp-content/uploads/Gender-Working-Group-Submission-to-the-CoSP10.pdf</w:t>
        </w:r>
      </w:hyperlink>
      <w:r w:rsidRPr="0088609C">
        <w:rPr>
          <w:szCs w:val="20"/>
        </w:rPr>
        <w:t xml:space="preserve">; Betina Pasteknik and Isabella Moggs, “Anti-corruption as a feminist cause: The gendered dimensions of power abuse,” U4 Anti-Corruption Resource Centre, 2025. </w:t>
      </w:r>
      <w:hyperlink r:id="rId4">
        <w:r w:rsidRPr="0088609C">
          <w:rPr>
            <w:color w:val="1155CC"/>
            <w:szCs w:val="20"/>
            <w:u w:val="single"/>
          </w:rPr>
          <w:t>https://www.u4.no/blog/anti-corruption-as-a-feminist-cause-the-gendered-dimensions-of-power-abuse</w:t>
        </w:r>
      </w:hyperlink>
      <w:r w:rsidRPr="0088609C">
        <w:rPr>
          <w:szCs w:val="20"/>
        </w:rPr>
        <w:t>.</w:t>
      </w:r>
    </w:p>
  </w:footnote>
  <w:footnote w:id="5">
    <w:p w14:paraId="02AB99CF" w14:textId="6D77D7E5" w:rsidR="005D3342" w:rsidRPr="0088609C" w:rsidRDefault="005D3342" w:rsidP="005D3342">
      <w:pPr>
        <w:pStyle w:val="FootnoteText"/>
        <w:spacing w:line="240" w:lineRule="auto"/>
        <w:rPr>
          <w:sz w:val="20"/>
          <w:szCs w:val="20"/>
          <w:lang w:val="en-US"/>
        </w:rPr>
      </w:pPr>
      <w:r w:rsidRPr="0088609C">
        <w:rPr>
          <w:rStyle w:val="FootnoteReference"/>
          <w:color w:val="000000" w:themeColor="text1"/>
          <w:szCs w:val="20"/>
        </w:rPr>
        <w:footnoteRef/>
      </w:r>
      <w:r w:rsidRPr="0088609C">
        <w:rPr>
          <w:sz w:val="20"/>
          <w:szCs w:val="20"/>
        </w:rPr>
        <w:t xml:space="preserve"> </w:t>
      </w:r>
      <w:r w:rsidRPr="0088609C">
        <w:rPr>
          <w:sz w:val="20"/>
          <w:szCs w:val="20"/>
          <w:lang w:val="en-US"/>
        </w:rPr>
        <w:t>For example, corruption constitutes a barrier to women’s participation in politics, with those in public office</w:t>
      </w:r>
    </w:p>
    <w:p w14:paraId="1C6A896B" w14:textId="267CF665" w:rsidR="005D3342" w:rsidRPr="0088609C" w:rsidRDefault="005D3342" w:rsidP="005D3342">
      <w:pPr>
        <w:spacing w:after="0" w:line="240" w:lineRule="auto"/>
        <w:rPr>
          <w:szCs w:val="20"/>
        </w:rPr>
      </w:pPr>
      <w:r w:rsidRPr="0088609C">
        <w:rPr>
          <w:szCs w:val="20"/>
          <w:lang w:val="en-US"/>
        </w:rPr>
        <w:t>facing harassment risks; sexual corruption remains a largely unaddressed issue, resulting in a lack of protections and remedies for victims; and whistleblowing and reporting mechanisms often ignore gender barriers.</w:t>
      </w:r>
    </w:p>
  </w:footnote>
  <w:footnote w:id="6">
    <w:p w14:paraId="5D910DC6"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UNODC. Toolkit on Mainstreaming Gender and Human Rights in the Implementation of the United Nations Convention Against Transnational Organized Crime, 2023. </w:t>
      </w:r>
      <w:hyperlink r:id="rId5">
        <w:r w:rsidRPr="0088609C">
          <w:rPr>
            <w:color w:val="1155CC"/>
            <w:szCs w:val="20"/>
            <w:u w:val="single"/>
          </w:rPr>
          <w:t>https://www.unodc.org/documents/organized-crime/tools_and_publications/Toolkit-gender-_and_human_rights_mainstreaming-ebook-EN.pdf</w:t>
        </w:r>
      </w:hyperlink>
      <w:r w:rsidRPr="0088609C">
        <w:rPr>
          <w:szCs w:val="20"/>
        </w:rPr>
        <w:t xml:space="preserve">.  </w:t>
      </w:r>
    </w:p>
  </w:footnote>
  <w:footnote w:id="7">
    <w:p w14:paraId="20CA5314"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United Nations. “The 17 Goals.”  </w:t>
      </w:r>
      <w:hyperlink r:id="rId6">
        <w:r w:rsidRPr="0088609C">
          <w:rPr>
            <w:color w:val="1155CC"/>
            <w:szCs w:val="20"/>
            <w:u w:val="single"/>
          </w:rPr>
          <w:t>https://sdgs.un.org/goals</w:t>
        </w:r>
      </w:hyperlink>
      <w:r w:rsidRPr="0088609C">
        <w:rPr>
          <w:szCs w:val="20"/>
        </w:rPr>
        <w:t xml:space="preserve">.  </w:t>
      </w:r>
    </w:p>
  </w:footnote>
  <w:footnote w:id="8">
    <w:p w14:paraId="0CE1DA32" w14:textId="293C3079"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UNODC, </w:t>
      </w:r>
      <w:r w:rsidR="00F14914">
        <w:rPr>
          <w:szCs w:val="20"/>
        </w:rPr>
        <w:t>“</w:t>
      </w:r>
      <w:r w:rsidRPr="0088609C">
        <w:rPr>
          <w:szCs w:val="20"/>
        </w:rPr>
        <w:t>Resolution 10/10 on Addressing the societal impacts of corruption,</w:t>
      </w:r>
      <w:r w:rsidR="00F14914">
        <w:rPr>
          <w:szCs w:val="20"/>
        </w:rPr>
        <w:t>”</w:t>
      </w:r>
      <w:r w:rsidRPr="0088609C">
        <w:rPr>
          <w:szCs w:val="20"/>
        </w:rPr>
        <w:t xml:space="preserve"> CAC/COSP/2023/L.14/Rev.1, (December 15, 2023). </w:t>
      </w:r>
      <w:hyperlink r:id="rId7">
        <w:r w:rsidRPr="0088609C">
          <w:rPr>
            <w:color w:val="1155CC"/>
            <w:szCs w:val="20"/>
            <w:u w:val="single"/>
          </w:rPr>
          <w:t>https://www.unodc.org/documents/treaties/UNCAC/COSP/session10/resolutions/L-documents/2325384E_L.14_Rev.1.pdf</w:t>
        </w:r>
      </w:hyperlink>
      <w:r w:rsidRPr="0088609C">
        <w:rPr>
          <w:szCs w:val="20"/>
        </w:rPr>
        <w:t xml:space="preserve">. </w:t>
      </w:r>
    </w:p>
  </w:footnote>
  <w:footnote w:id="9">
    <w:p w14:paraId="4F7C5EEB"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Notably, the Convention on the Elimination of All Forms of Discrimination Against Women, the Beijing Declaration, the Millenium Development Goals, the Sustainable Development Goals.</w:t>
      </w:r>
    </w:p>
  </w:footnote>
  <w:footnote w:id="10">
    <w:p w14:paraId="71524465"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UNODC. “The Time is Now: Addressing the gender dimensions of corruption,” 2020. </w:t>
      </w:r>
      <w:hyperlink r:id="rId8">
        <w:r w:rsidRPr="0088609C">
          <w:rPr>
            <w:color w:val="1155CC"/>
            <w:szCs w:val="20"/>
            <w:u w:val="single"/>
          </w:rPr>
          <w:t>https://www.unodc.org/documents/corruption/Publications/2020/THE_TIME_IS_NOW_2020_12_08.pdf</w:t>
        </w:r>
      </w:hyperlink>
      <w:r w:rsidRPr="0088609C">
        <w:rPr>
          <w:szCs w:val="20"/>
        </w:rPr>
        <w:t xml:space="preserve">. </w:t>
      </w:r>
    </w:p>
  </w:footnote>
  <w:footnote w:id="11">
    <w:p w14:paraId="7C16CD86"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w:t>
      </w:r>
      <w:proofErr w:type="spellStart"/>
      <w:r w:rsidRPr="0088609C">
        <w:rPr>
          <w:szCs w:val="20"/>
        </w:rPr>
        <w:t>EurosociAL</w:t>
      </w:r>
      <w:proofErr w:type="spellEnd"/>
      <w:r w:rsidRPr="0088609C">
        <w:rPr>
          <w:szCs w:val="20"/>
        </w:rPr>
        <w:t xml:space="preserve">. Gender Equality Policies, </w:t>
      </w:r>
      <w:hyperlink r:id="rId9">
        <w:r w:rsidRPr="0088609C">
          <w:rPr>
            <w:color w:val="1155CC"/>
            <w:szCs w:val="20"/>
            <w:u w:val="single"/>
          </w:rPr>
          <w:t>https://eurosocial.eu/politicas-de-igualdad-de-genero/</w:t>
        </w:r>
      </w:hyperlink>
      <w:r w:rsidRPr="0088609C">
        <w:rPr>
          <w:szCs w:val="20"/>
        </w:rPr>
        <w:t xml:space="preserve">. </w:t>
      </w:r>
    </w:p>
  </w:footnote>
  <w:footnote w:id="12">
    <w:p w14:paraId="11D79108"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Ana Linda Solano López, “</w:t>
      </w:r>
      <w:proofErr w:type="spellStart"/>
      <w:r w:rsidRPr="0088609C">
        <w:rPr>
          <w:szCs w:val="20"/>
        </w:rPr>
        <w:t>Mujer</w:t>
      </w:r>
      <w:proofErr w:type="spellEnd"/>
      <w:r w:rsidRPr="0088609C">
        <w:rPr>
          <w:szCs w:val="20"/>
        </w:rPr>
        <w:t xml:space="preserve"> y </w:t>
      </w:r>
      <w:proofErr w:type="spellStart"/>
      <w:r w:rsidRPr="0088609C">
        <w:rPr>
          <w:szCs w:val="20"/>
        </w:rPr>
        <w:t>corrupción</w:t>
      </w:r>
      <w:proofErr w:type="spellEnd"/>
      <w:r w:rsidRPr="0088609C">
        <w:rPr>
          <w:szCs w:val="20"/>
        </w:rPr>
        <w:t xml:space="preserve">: </w:t>
      </w:r>
      <w:proofErr w:type="spellStart"/>
      <w:r w:rsidRPr="0088609C">
        <w:rPr>
          <w:szCs w:val="20"/>
        </w:rPr>
        <w:t>estrategias</w:t>
      </w:r>
      <w:proofErr w:type="spellEnd"/>
      <w:r w:rsidRPr="0088609C">
        <w:rPr>
          <w:szCs w:val="20"/>
        </w:rPr>
        <w:t xml:space="preserve"> para </w:t>
      </w:r>
      <w:proofErr w:type="spellStart"/>
      <w:r w:rsidRPr="0088609C">
        <w:rPr>
          <w:szCs w:val="20"/>
        </w:rPr>
        <w:t>abordar</w:t>
      </w:r>
      <w:proofErr w:type="spellEnd"/>
      <w:r w:rsidRPr="0088609C">
        <w:rPr>
          <w:szCs w:val="20"/>
        </w:rPr>
        <w:t xml:space="preserve"> </w:t>
      </w:r>
      <w:proofErr w:type="spellStart"/>
      <w:r w:rsidRPr="0088609C">
        <w:rPr>
          <w:szCs w:val="20"/>
        </w:rPr>
        <w:t>los</w:t>
      </w:r>
      <w:proofErr w:type="spellEnd"/>
      <w:r w:rsidRPr="0088609C">
        <w:rPr>
          <w:szCs w:val="20"/>
        </w:rPr>
        <w:t xml:space="preserve"> </w:t>
      </w:r>
      <w:proofErr w:type="spellStart"/>
      <w:r w:rsidRPr="0088609C">
        <w:rPr>
          <w:szCs w:val="20"/>
        </w:rPr>
        <w:t>impactos</w:t>
      </w:r>
      <w:proofErr w:type="spellEnd"/>
      <w:r w:rsidRPr="0088609C">
        <w:rPr>
          <w:szCs w:val="20"/>
        </w:rPr>
        <w:t xml:space="preserve"> </w:t>
      </w:r>
      <w:proofErr w:type="spellStart"/>
      <w:r w:rsidRPr="0088609C">
        <w:rPr>
          <w:szCs w:val="20"/>
        </w:rPr>
        <w:t>diferenciados</w:t>
      </w:r>
      <w:proofErr w:type="spellEnd"/>
      <w:r w:rsidRPr="0088609C">
        <w:rPr>
          <w:szCs w:val="20"/>
        </w:rPr>
        <w:t xml:space="preserve"> de la </w:t>
      </w:r>
      <w:proofErr w:type="spellStart"/>
      <w:r w:rsidRPr="0088609C">
        <w:rPr>
          <w:szCs w:val="20"/>
        </w:rPr>
        <w:t>corrupción</w:t>
      </w:r>
      <w:proofErr w:type="spellEnd"/>
      <w:r w:rsidRPr="0088609C">
        <w:rPr>
          <w:szCs w:val="20"/>
        </w:rPr>
        <w:t xml:space="preserve"> </w:t>
      </w:r>
      <w:proofErr w:type="spellStart"/>
      <w:r w:rsidRPr="0088609C">
        <w:rPr>
          <w:szCs w:val="20"/>
        </w:rPr>
        <w:t>en</w:t>
      </w:r>
      <w:proofErr w:type="spellEnd"/>
      <w:r w:rsidRPr="0088609C">
        <w:rPr>
          <w:szCs w:val="20"/>
        </w:rPr>
        <w:t xml:space="preserve"> América Latina,” </w:t>
      </w:r>
      <w:proofErr w:type="spellStart"/>
      <w:r w:rsidRPr="0088609C">
        <w:rPr>
          <w:szCs w:val="20"/>
        </w:rPr>
        <w:t>EuroSocial</w:t>
      </w:r>
      <w:proofErr w:type="spellEnd"/>
      <w:r w:rsidRPr="0088609C">
        <w:rPr>
          <w:szCs w:val="20"/>
        </w:rPr>
        <w:t xml:space="preserve">, 2019, </w:t>
      </w:r>
      <w:hyperlink r:id="rId10">
        <w:r w:rsidRPr="0088609C">
          <w:rPr>
            <w:color w:val="1155CC"/>
            <w:szCs w:val="20"/>
            <w:u w:val="single"/>
          </w:rPr>
          <w:t>https://eurosocial.eu/wp-content/uploads/2019/04/OK-5-Mujer-y-corrupcion-EUROSOCIAL.pdf</w:t>
        </w:r>
      </w:hyperlink>
      <w:r w:rsidRPr="0088609C">
        <w:rPr>
          <w:szCs w:val="20"/>
        </w:rPr>
        <w:t>.</w:t>
      </w:r>
    </w:p>
  </w:footnote>
  <w:footnote w:id="13">
    <w:p w14:paraId="15E3A36B" w14:textId="79DC1774"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APEC, “Bridging the Gender Gap: Gender Mainstreaming and Women Empowerment as a Game Changer in Anti-Corruption Initiatives”, 2020. </w:t>
      </w:r>
      <w:hyperlink r:id="rId11">
        <w:r w:rsidRPr="0088609C">
          <w:rPr>
            <w:color w:val="1155CC"/>
            <w:szCs w:val="20"/>
            <w:u w:val="single"/>
          </w:rPr>
          <w:t>https://www.apec.org/docs/default-source/publications/2020/11/bridging-the-gender-gap/220_act_bridging-the-gender-gap.pdf?sfvrsn=2b6beaab_1</w:t>
        </w:r>
      </w:hyperlink>
      <w:r w:rsidRPr="0088609C">
        <w:rPr>
          <w:szCs w:val="20"/>
        </w:rPr>
        <w:t>.</w:t>
      </w:r>
    </w:p>
  </w:footnote>
  <w:footnote w:id="14">
    <w:p w14:paraId="2FA748B6"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Comisión de Alto Nivel </w:t>
      </w:r>
      <w:proofErr w:type="spellStart"/>
      <w:r w:rsidRPr="0088609C">
        <w:rPr>
          <w:szCs w:val="20"/>
        </w:rPr>
        <w:t>Anticorrupción</w:t>
      </w:r>
      <w:proofErr w:type="spellEnd"/>
      <w:r w:rsidRPr="0088609C">
        <w:rPr>
          <w:szCs w:val="20"/>
        </w:rPr>
        <w:t xml:space="preserve">. Plan Nacional de </w:t>
      </w:r>
      <w:proofErr w:type="spellStart"/>
      <w:r w:rsidRPr="0088609C">
        <w:rPr>
          <w:szCs w:val="20"/>
        </w:rPr>
        <w:t>integridad</w:t>
      </w:r>
      <w:proofErr w:type="spellEnd"/>
      <w:r w:rsidRPr="0088609C">
        <w:rPr>
          <w:szCs w:val="20"/>
        </w:rPr>
        <w:t xml:space="preserve"> y lucha contra la </w:t>
      </w:r>
      <w:proofErr w:type="spellStart"/>
      <w:r w:rsidRPr="0088609C">
        <w:rPr>
          <w:szCs w:val="20"/>
        </w:rPr>
        <w:t>corrupcion</w:t>
      </w:r>
      <w:proofErr w:type="spellEnd"/>
      <w:r w:rsidRPr="0088609C">
        <w:rPr>
          <w:szCs w:val="20"/>
        </w:rPr>
        <w:t xml:space="preserve"> 2018-2021. </w:t>
      </w:r>
      <w:hyperlink r:id="rId12">
        <w:r w:rsidRPr="0088609C">
          <w:rPr>
            <w:color w:val="1155CC"/>
            <w:szCs w:val="20"/>
            <w:u w:val="single"/>
          </w:rPr>
          <w:t>https://www.bnp.gob.pe/wp-content/uploads/2022/05/Plan-Nacional-de-Integridad-y-Lucha-contra-la-Corrupci%C3%B3n-2018-2021.pdf.pdf</w:t>
        </w:r>
      </w:hyperlink>
      <w:r w:rsidRPr="0088609C">
        <w:rPr>
          <w:szCs w:val="20"/>
        </w:rPr>
        <w:t xml:space="preserve">. </w:t>
      </w:r>
    </w:p>
  </w:footnote>
  <w:footnote w:id="15">
    <w:p w14:paraId="3F9D3B85" w14:textId="7810BA91"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page 8 of the following report: </w:t>
      </w:r>
      <w:r w:rsidR="00730908" w:rsidRPr="0088609C">
        <w:rPr>
          <w:szCs w:val="20"/>
        </w:rPr>
        <w:t>APEC, “Bridging the Gender Gap: Gender Mainstreaming and Women Empowerment as a Game Changer in Anti-Corruption Initiatives”, 2020</w:t>
      </w:r>
      <w:r w:rsidRPr="0088609C">
        <w:rPr>
          <w:szCs w:val="20"/>
        </w:rPr>
        <w:t xml:space="preserve">. “Bridging the Gender Gap: Gender Mainstreaming and Women Empowerment as a Game Changer in Anti-Corruption Initiatives”. </w:t>
      </w:r>
      <w:hyperlink r:id="rId13">
        <w:r w:rsidRPr="0088609C">
          <w:rPr>
            <w:color w:val="1155CC"/>
            <w:szCs w:val="20"/>
            <w:u w:val="single"/>
          </w:rPr>
          <w:t>https://www.apec.org/docs/default-source/publications/2020/11/bridging-the-gender-gap/220_act_bridging-the-gender-gap.pdf?sfvrsn=2b6beaab_1</w:t>
        </w:r>
      </w:hyperlink>
      <w:r w:rsidRPr="0088609C">
        <w:rPr>
          <w:szCs w:val="20"/>
        </w:rPr>
        <w:t>.</w:t>
      </w:r>
    </w:p>
  </w:footnote>
  <w:footnote w:id="16">
    <w:p w14:paraId="0E012926" w14:textId="73F8E8CF"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UNODC. </w:t>
      </w:r>
      <w:r w:rsidR="005D3342" w:rsidRPr="0088609C">
        <w:rPr>
          <w:szCs w:val="20"/>
        </w:rPr>
        <w:t>“</w:t>
      </w:r>
      <w:r w:rsidRPr="0088609C">
        <w:rPr>
          <w:szCs w:val="20"/>
        </w:rPr>
        <w:t>Australia’s response to UNODC’s questionnaire inviting contributions on negative effects of corruption on women and youth and the role played by women and youth in preventing and combating corruption</w:t>
      </w:r>
      <w:r w:rsidR="005D3342" w:rsidRPr="0088609C">
        <w:rPr>
          <w:szCs w:val="20"/>
        </w:rPr>
        <w:t xml:space="preserve">,” 2024. </w:t>
      </w:r>
      <w:hyperlink r:id="rId14" w:history="1">
        <w:r w:rsidR="005D3342" w:rsidRPr="0088609C">
          <w:rPr>
            <w:rStyle w:val="Hyperlink"/>
            <w:szCs w:val="20"/>
            <w:u w:val="single"/>
          </w:rPr>
          <w:t>https://track.unodc.org/uploads/documents/UNCAC/WorkingGroups/workinggroup4/2024-September-3-6/Contributions/CU2024-133/Australia_EN.pdf</w:t>
        </w:r>
      </w:hyperlink>
      <w:r w:rsidRPr="0088609C">
        <w:rPr>
          <w:szCs w:val="20"/>
          <w:u w:val="single"/>
        </w:rPr>
        <w:t>.</w:t>
      </w:r>
      <w:r w:rsidRPr="0088609C">
        <w:rPr>
          <w:szCs w:val="20"/>
        </w:rPr>
        <w:t xml:space="preserve"> </w:t>
      </w:r>
    </w:p>
  </w:footnote>
  <w:footnote w:id="17">
    <w:p w14:paraId="5D944363" w14:textId="5549A815"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APEC. </w:t>
      </w:r>
      <w:r w:rsidR="005D3342" w:rsidRPr="0088609C">
        <w:rPr>
          <w:szCs w:val="20"/>
        </w:rPr>
        <w:t>“</w:t>
      </w:r>
      <w:r w:rsidRPr="0088609C">
        <w:rPr>
          <w:szCs w:val="20"/>
        </w:rPr>
        <w:t>APEC Gender-mainstreaming mentoring package prepared for the Anti-Corruption Working Group: Mentor’s handbook</w:t>
      </w:r>
      <w:r w:rsidR="005D3342" w:rsidRPr="0088609C">
        <w:rPr>
          <w:szCs w:val="20"/>
        </w:rPr>
        <w:t>,” 2022</w:t>
      </w:r>
      <w:r w:rsidRPr="0088609C">
        <w:rPr>
          <w:szCs w:val="20"/>
        </w:rPr>
        <w:t xml:space="preserve">. </w:t>
      </w:r>
      <w:hyperlink r:id="rId15">
        <w:r w:rsidRPr="0088609C">
          <w:rPr>
            <w:color w:val="1155CC"/>
            <w:szCs w:val="20"/>
            <w:u w:val="single"/>
          </w:rPr>
          <w:t>https://www.apec.org/docs/default-source/publications/2022/2/apec-gender-mainstreaming-training-package-mentor%27s-handbook/222_act_gender-mainstreaming-training-package_mentor%27s-handbook.pdf?sfvrsn=d0eb6909_2</w:t>
        </w:r>
      </w:hyperlink>
      <w:r w:rsidRPr="0088609C">
        <w:rPr>
          <w:szCs w:val="20"/>
        </w:rPr>
        <w:t>.</w:t>
      </w:r>
    </w:p>
  </w:footnote>
  <w:footnote w:id="18">
    <w:p w14:paraId="1BEA09BB" w14:textId="167264D2"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w:t>
      </w:r>
      <w:r w:rsidR="0088609C">
        <w:rPr>
          <w:szCs w:val="20"/>
        </w:rPr>
        <w:t>Article 25</w:t>
      </w:r>
      <w:r w:rsidRPr="0088609C">
        <w:rPr>
          <w:szCs w:val="20"/>
        </w:rPr>
        <w:t xml:space="preserve">: </w:t>
      </w:r>
      <w:r w:rsidR="0088609C">
        <w:rPr>
          <w:szCs w:val="20"/>
        </w:rPr>
        <w:t>The United Republic of Tanzania</w:t>
      </w:r>
      <w:r w:rsidRPr="0088609C">
        <w:rPr>
          <w:szCs w:val="20"/>
        </w:rPr>
        <w:t xml:space="preserve">. </w:t>
      </w:r>
      <w:r w:rsidR="005D3342" w:rsidRPr="0088609C">
        <w:rPr>
          <w:szCs w:val="20"/>
        </w:rPr>
        <w:t>“</w:t>
      </w:r>
      <w:r w:rsidRPr="0088609C">
        <w:rPr>
          <w:szCs w:val="20"/>
        </w:rPr>
        <w:t>The Prevention and Combating of Corruption Act</w:t>
      </w:r>
      <w:r w:rsidR="0088609C" w:rsidRPr="0088609C">
        <w:rPr>
          <w:szCs w:val="20"/>
        </w:rPr>
        <w:t>,</w:t>
      </w:r>
      <w:r w:rsidR="005D3342" w:rsidRPr="0088609C">
        <w:rPr>
          <w:szCs w:val="20"/>
        </w:rPr>
        <w:t xml:space="preserve">” </w:t>
      </w:r>
      <w:r w:rsidR="0088609C">
        <w:rPr>
          <w:szCs w:val="20"/>
        </w:rPr>
        <w:t xml:space="preserve">revised edition 15 June </w:t>
      </w:r>
      <w:r w:rsidR="0088609C" w:rsidRPr="0088609C">
        <w:rPr>
          <w:szCs w:val="20"/>
        </w:rPr>
        <w:t>2022</w:t>
      </w:r>
      <w:r w:rsidRPr="0088609C">
        <w:rPr>
          <w:szCs w:val="20"/>
        </w:rPr>
        <w:t xml:space="preserve">. </w:t>
      </w:r>
      <w:hyperlink r:id="rId16" w:history="1">
        <w:r w:rsidR="0088609C" w:rsidRPr="0088609C">
          <w:rPr>
            <w:rStyle w:val="Hyperlink"/>
            <w:szCs w:val="20"/>
            <w:u w:val="single"/>
          </w:rPr>
          <w:t>https://elibrary.osg.go.tz/server/api/core/bitstreams/3b948878-6396-4830-be95-0ead5b823b82/content</w:t>
        </w:r>
      </w:hyperlink>
      <w:r w:rsidR="0088609C">
        <w:rPr>
          <w:szCs w:val="20"/>
          <w:u w:val="single"/>
        </w:rPr>
        <w:t xml:space="preserve">. </w:t>
      </w:r>
    </w:p>
  </w:footnote>
  <w:footnote w:id="19">
    <w:p w14:paraId="7C83F976" w14:textId="7777777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The </w:t>
      </w:r>
      <w:proofErr w:type="spellStart"/>
      <w:r w:rsidRPr="0088609C">
        <w:rPr>
          <w:szCs w:val="20"/>
        </w:rPr>
        <w:t>EUROsociAL</w:t>
      </w:r>
      <w:proofErr w:type="spellEnd"/>
      <w:r w:rsidRPr="0088609C">
        <w:rPr>
          <w:szCs w:val="20"/>
        </w:rPr>
        <w:t xml:space="preserve"> cooperation programme partnered with civil society organisations from several Latin American countries to identify strategies to address the differentiated impacts of corruption in local realities in Latin America. See more on this (Spanish) in: Solano López, A.L. 2019. </w:t>
      </w:r>
      <w:proofErr w:type="spellStart"/>
      <w:r w:rsidRPr="0088609C">
        <w:rPr>
          <w:szCs w:val="20"/>
        </w:rPr>
        <w:t>Mujer</w:t>
      </w:r>
      <w:proofErr w:type="spellEnd"/>
      <w:r w:rsidRPr="0088609C">
        <w:rPr>
          <w:szCs w:val="20"/>
        </w:rPr>
        <w:t xml:space="preserve"> y </w:t>
      </w:r>
      <w:proofErr w:type="spellStart"/>
      <w:r w:rsidRPr="0088609C">
        <w:rPr>
          <w:szCs w:val="20"/>
        </w:rPr>
        <w:t>corrupción</w:t>
      </w:r>
      <w:proofErr w:type="spellEnd"/>
      <w:r w:rsidRPr="0088609C">
        <w:rPr>
          <w:szCs w:val="20"/>
        </w:rPr>
        <w:t xml:space="preserve">: </w:t>
      </w:r>
      <w:proofErr w:type="spellStart"/>
      <w:r w:rsidRPr="0088609C">
        <w:rPr>
          <w:szCs w:val="20"/>
        </w:rPr>
        <w:t>estrategias</w:t>
      </w:r>
      <w:proofErr w:type="spellEnd"/>
      <w:r w:rsidRPr="0088609C">
        <w:rPr>
          <w:szCs w:val="20"/>
        </w:rPr>
        <w:t xml:space="preserve"> para </w:t>
      </w:r>
      <w:proofErr w:type="spellStart"/>
      <w:r w:rsidRPr="0088609C">
        <w:rPr>
          <w:szCs w:val="20"/>
        </w:rPr>
        <w:t>abordar</w:t>
      </w:r>
      <w:proofErr w:type="spellEnd"/>
      <w:r w:rsidRPr="0088609C">
        <w:rPr>
          <w:szCs w:val="20"/>
        </w:rPr>
        <w:t xml:space="preserve"> </w:t>
      </w:r>
      <w:proofErr w:type="spellStart"/>
      <w:r w:rsidRPr="0088609C">
        <w:rPr>
          <w:szCs w:val="20"/>
        </w:rPr>
        <w:t>los</w:t>
      </w:r>
      <w:proofErr w:type="spellEnd"/>
      <w:r w:rsidRPr="0088609C">
        <w:rPr>
          <w:szCs w:val="20"/>
        </w:rPr>
        <w:t xml:space="preserve"> </w:t>
      </w:r>
      <w:proofErr w:type="spellStart"/>
      <w:r w:rsidRPr="0088609C">
        <w:rPr>
          <w:szCs w:val="20"/>
        </w:rPr>
        <w:t>impactos</w:t>
      </w:r>
      <w:proofErr w:type="spellEnd"/>
      <w:r w:rsidRPr="0088609C">
        <w:rPr>
          <w:szCs w:val="20"/>
        </w:rPr>
        <w:t xml:space="preserve"> </w:t>
      </w:r>
      <w:proofErr w:type="spellStart"/>
      <w:r w:rsidRPr="0088609C">
        <w:rPr>
          <w:szCs w:val="20"/>
        </w:rPr>
        <w:t>diferenciados</w:t>
      </w:r>
      <w:proofErr w:type="spellEnd"/>
      <w:r w:rsidRPr="0088609C">
        <w:rPr>
          <w:szCs w:val="20"/>
        </w:rPr>
        <w:t xml:space="preserve"> de la </w:t>
      </w:r>
      <w:proofErr w:type="spellStart"/>
      <w:r w:rsidRPr="0088609C">
        <w:rPr>
          <w:szCs w:val="20"/>
        </w:rPr>
        <w:t>corrupción</w:t>
      </w:r>
      <w:proofErr w:type="spellEnd"/>
      <w:r w:rsidRPr="0088609C">
        <w:rPr>
          <w:szCs w:val="20"/>
        </w:rPr>
        <w:t xml:space="preserve"> </w:t>
      </w:r>
      <w:proofErr w:type="spellStart"/>
      <w:r w:rsidRPr="0088609C">
        <w:rPr>
          <w:szCs w:val="20"/>
        </w:rPr>
        <w:t>en</w:t>
      </w:r>
      <w:proofErr w:type="spellEnd"/>
      <w:r w:rsidRPr="0088609C">
        <w:rPr>
          <w:szCs w:val="20"/>
        </w:rPr>
        <w:t xml:space="preserve"> América Latina, </w:t>
      </w:r>
      <w:hyperlink r:id="rId17">
        <w:r w:rsidRPr="0088609C">
          <w:rPr>
            <w:color w:val="1155CC"/>
            <w:szCs w:val="20"/>
            <w:u w:val="single"/>
          </w:rPr>
          <w:t>https://eurosocial.eu/wp-content/uploads/2019/04/OK-5-Mujer-y-corrupcion-EUROSOCIAL.pdf</w:t>
        </w:r>
      </w:hyperlink>
      <w:r w:rsidRPr="0088609C">
        <w:rPr>
          <w:szCs w:val="20"/>
        </w:rPr>
        <w:t xml:space="preserve">. </w:t>
      </w:r>
    </w:p>
  </w:footnote>
  <w:footnote w:id="20">
    <w:p w14:paraId="6E061C59" w14:textId="376FD62A"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w:t>
      </w:r>
      <w:proofErr w:type="spellStart"/>
      <w:r w:rsidRPr="0088609C">
        <w:rPr>
          <w:szCs w:val="20"/>
        </w:rPr>
        <w:t>Mexiro</w:t>
      </w:r>
      <w:proofErr w:type="spellEnd"/>
      <w:r w:rsidRPr="0088609C">
        <w:rPr>
          <w:szCs w:val="20"/>
        </w:rPr>
        <w:t xml:space="preserve"> A.C., “Women Against Corruption: Anti-Corruption Policies and Programs”, </w:t>
      </w:r>
      <w:r w:rsidR="0088609C">
        <w:rPr>
          <w:szCs w:val="20"/>
        </w:rPr>
        <w:t>accessed 20 November 2025.</w:t>
      </w:r>
      <w:r w:rsidRPr="0088609C">
        <w:rPr>
          <w:szCs w:val="20"/>
        </w:rPr>
        <w:t xml:space="preserve"> </w:t>
      </w:r>
      <w:hyperlink r:id="rId18">
        <w:r w:rsidRPr="0088609C">
          <w:rPr>
            <w:color w:val="1155CC"/>
            <w:szCs w:val="20"/>
            <w:u w:val="single"/>
          </w:rPr>
          <w:t>https://www.mexiro.org/proyectos/mujeres-anticorrupcion-pautas</w:t>
        </w:r>
      </w:hyperlink>
      <w:r w:rsidRPr="0088609C">
        <w:rPr>
          <w:szCs w:val="20"/>
        </w:rPr>
        <w:t>.</w:t>
      </w:r>
    </w:p>
  </w:footnote>
  <w:footnote w:id="21">
    <w:p w14:paraId="7B7A8587" w14:textId="54B1DA38"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w:t>
      </w:r>
      <w:proofErr w:type="spellStart"/>
      <w:r w:rsidRPr="0088609C">
        <w:rPr>
          <w:szCs w:val="20"/>
        </w:rPr>
        <w:t>Observatorio</w:t>
      </w:r>
      <w:proofErr w:type="spellEnd"/>
      <w:r w:rsidRPr="0088609C">
        <w:rPr>
          <w:szCs w:val="20"/>
        </w:rPr>
        <w:t xml:space="preserve"> </w:t>
      </w:r>
      <w:proofErr w:type="spellStart"/>
      <w:r w:rsidRPr="0088609C">
        <w:rPr>
          <w:szCs w:val="20"/>
        </w:rPr>
        <w:t>Ciudadano</w:t>
      </w:r>
      <w:proofErr w:type="spellEnd"/>
      <w:r w:rsidRPr="0088609C">
        <w:rPr>
          <w:szCs w:val="20"/>
        </w:rPr>
        <w:t xml:space="preserve"> de </w:t>
      </w:r>
      <w:proofErr w:type="spellStart"/>
      <w:r w:rsidRPr="0088609C">
        <w:rPr>
          <w:szCs w:val="20"/>
        </w:rPr>
        <w:t>Corrupción</w:t>
      </w:r>
      <w:proofErr w:type="spellEnd"/>
      <w:r w:rsidRPr="0088609C">
        <w:rPr>
          <w:szCs w:val="20"/>
        </w:rPr>
        <w:t xml:space="preserve">. </w:t>
      </w:r>
      <w:r w:rsidR="0088609C">
        <w:rPr>
          <w:szCs w:val="20"/>
        </w:rPr>
        <w:t>“</w:t>
      </w:r>
      <w:r w:rsidRPr="0088609C">
        <w:rPr>
          <w:szCs w:val="20"/>
        </w:rPr>
        <w:t xml:space="preserve">Informe </w:t>
      </w:r>
      <w:proofErr w:type="spellStart"/>
      <w:r w:rsidRPr="0088609C">
        <w:rPr>
          <w:szCs w:val="20"/>
        </w:rPr>
        <w:t>Temático</w:t>
      </w:r>
      <w:proofErr w:type="spellEnd"/>
      <w:r w:rsidRPr="0088609C">
        <w:rPr>
          <w:szCs w:val="20"/>
        </w:rPr>
        <w:t xml:space="preserve"> Regional: </w:t>
      </w:r>
      <w:proofErr w:type="spellStart"/>
      <w:r w:rsidRPr="0088609C">
        <w:rPr>
          <w:szCs w:val="20"/>
        </w:rPr>
        <w:t>Inclusión</w:t>
      </w:r>
      <w:proofErr w:type="spellEnd"/>
      <w:r w:rsidRPr="0088609C">
        <w:rPr>
          <w:szCs w:val="20"/>
        </w:rPr>
        <w:t xml:space="preserve"> del </w:t>
      </w:r>
      <w:proofErr w:type="spellStart"/>
      <w:r w:rsidRPr="0088609C">
        <w:rPr>
          <w:szCs w:val="20"/>
        </w:rPr>
        <w:t>Enfoque</w:t>
      </w:r>
      <w:proofErr w:type="spellEnd"/>
      <w:r w:rsidRPr="0088609C">
        <w:rPr>
          <w:szCs w:val="20"/>
        </w:rPr>
        <w:t xml:space="preserve"> de </w:t>
      </w:r>
      <w:proofErr w:type="spellStart"/>
      <w:r w:rsidRPr="0088609C">
        <w:rPr>
          <w:szCs w:val="20"/>
        </w:rPr>
        <w:t>Género</w:t>
      </w:r>
      <w:proofErr w:type="spellEnd"/>
      <w:r w:rsidRPr="0088609C">
        <w:rPr>
          <w:szCs w:val="20"/>
        </w:rPr>
        <w:t xml:space="preserve"> </w:t>
      </w:r>
      <w:proofErr w:type="spellStart"/>
      <w:r w:rsidRPr="0088609C">
        <w:rPr>
          <w:szCs w:val="20"/>
        </w:rPr>
        <w:t>en</w:t>
      </w:r>
      <w:proofErr w:type="spellEnd"/>
      <w:r w:rsidRPr="0088609C">
        <w:rPr>
          <w:szCs w:val="20"/>
        </w:rPr>
        <w:t xml:space="preserve"> la Lucha Contra la </w:t>
      </w:r>
      <w:proofErr w:type="spellStart"/>
      <w:r w:rsidRPr="0088609C">
        <w:rPr>
          <w:szCs w:val="20"/>
        </w:rPr>
        <w:t>Corrupción</w:t>
      </w:r>
      <w:proofErr w:type="spellEnd"/>
      <w:r w:rsidR="0088609C">
        <w:rPr>
          <w:szCs w:val="20"/>
        </w:rPr>
        <w:t>,” accessed 20 November 2025.</w:t>
      </w:r>
      <w:r w:rsidRPr="0088609C">
        <w:rPr>
          <w:szCs w:val="20"/>
        </w:rPr>
        <w:t xml:space="preserve"> </w:t>
      </w:r>
      <w:hyperlink r:id="rId19">
        <w:r w:rsidRPr="0088609C">
          <w:rPr>
            <w:color w:val="1155CC"/>
            <w:szCs w:val="20"/>
            <w:u w:val="single"/>
          </w:rPr>
          <w:t>https://occ-america.com/wp-content/uploads/2022/04/3.-inclusion-del-enfoque-de-genero-en-la-lucha-contra-la-corrupcion-1.pdf</w:t>
        </w:r>
      </w:hyperlink>
      <w:r w:rsidRPr="0088609C">
        <w:rPr>
          <w:szCs w:val="20"/>
        </w:rPr>
        <w:t>.</w:t>
      </w:r>
    </w:p>
  </w:footnote>
  <w:footnote w:id="22">
    <w:p w14:paraId="26618E58" w14:textId="71BA25DA"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for example: </w:t>
      </w:r>
      <w:proofErr w:type="spellStart"/>
      <w:r w:rsidR="00AA5163">
        <w:rPr>
          <w:szCs w:val="20"/>
        </w:rPr>
        <w:t>Disna</w:t>
      </w:r>
      <w:proofErr w:type="spellEnd"/>
      <w:r w:rsidR="00AA5163">
        <w:rPr>
          <w:szCs w:val="20"/>
        </w:rPr>
        <w:t xml:space="preserve"> </w:t>
      </w:r>
      <w:proofErr w:type="spellStart"/>
      <w:r w:rsidRPr="0088609C">
        <w:rPr>
          <w:szCs w:val="20"/>
        </w:rPr>
        <w:t>Mudalige</w:t>
      </w:r>
      <w:proofErr w:type="spellEnd"/>
      <w:r w:rsidR="0088609C">
        <w:rPr>
          <w:szCs w:val="20"/>
        </w:rPr>
        <w:t>,</w:t>
      </w:r>
      <w:r w:rsidRPr="0088609C">
        <w:rPr>
          <w:szCs w:val="20"/>
        </w:rPr>
        <w:t xml:space="preserve"> </w:t>
      </w:r>
      <w:r w:rsidR="0088609C">
        <w:rPr>
          <w:szCs w:val="20"/>
        </w:rPr>
        <w:t>“</w:t>
      </w:r>
      <w:r w:rsidRPr="0088609C">
        <w:rPr>
          <w:szCs w:val="20"/>
        </w:rPr>
        <w:t>Microfinance and Credit Regulatory Authority Bill: TISL Files Petition in the Supreme Court</w:t>
      </w:r>
      <w:r w:rsidR="0088609C">
        <w:rPr>
          <w:szCs w:val="20"/>
        </w:rPr>
        <w:t>,”</w:t>
      </w:r>
      <w:r w:rsidRPr="0088609C">
        <w:rPr>
          <w:szCs w:val="20"/>
        </w:rPr>
        <w:t xml:space="preserve"> Transparency International Sri Lanka</w:t>
      </w:r>
      <w:r w:rsidR="0088609C">
        <w:rPr>
          <w:szCs w:val="20"/>
        </w:rPr>
        <w:t xml:space="preserve">, </w:t>
      </w:r>
      <w:r w:rsidR="0088609C" w:rsidRPr="0088609C">
        <w:rPr>
          <w:szCs w:val="20"/>
        </w:rPr>
        <w:t>2024</w:t>
      </w:r>
      <w:r w:rsidRPr="0088609C">
        <w:rPr>
          <w:szCs w:val="20"/>
        </w:rPr>
        <w:t xml:space="preserve">. </w:t>
      </w:r>
      <w:hyperlink r:id="rId20">
        <w:r w:rsidRPr="0088609C">
          <w:rPr>
            <w:color w:val="1155CC"/>
            <w:szCs w:val="20"/>
            <w:u w:val="single"/>
          </w:rPr>
          <w:t>https://www.tisrilanka.org/microfinance-and-credit-regulatory-authority-bill-tisl-files-petition-in-the-supreme-court/</w:t>
        </w:r>
      </w:hyperlink>
      <w:r w:rsidRPr="0088609C">
        <w:rPr>
          <w:szCs w:val="20"/>
        </w:rPr>
        <w:t xml:space="preserve"> </w:t>
      </w:r>
    </w:p>
  </w:footnote>
  <w:footnote w:id="23">
    <w:p w14:paraId="079E9B04" w14:textId="2F61F467" w:rsidR="00E43B54" w:rsidRPr="0088609C" w:rsidRDefault="00E43B54" w:rsidP="00E43B54">
      <w:pPr>
        <w:spacing w:after="0" w:line="240" w:lineRule="auto"/>
        <w:rPr>
          <w:szCs w:val="20"/>
        </w:rPr>
      </w:pPr>
      <w:r w:rsidRPr="0088609C">
        <w:rPr>
          <w:szCs w:val="20"/>
          <w:vertAlign w:val="superscript"/>
        </w:rPr>
        <w:footnoteRef/>
      </w:r>
      <w:r w:rsidRPr="0088609C">
        <w:rPr>
          <w:szCs w:val="20"/>
        </w:rPr>
        <w:t xml:space="preserve"> See the example mentioned in footnote </w:t>
      </w:r>
      <w:r w:rsidR="00730908">
        <w:rPr>
          <w:szCs w:val="20"/>
        </w:rPr>
        <w:t>19</w:t>
      </w:r>
      <w:r w:rsidRPr="0088609C">
        <w:rPr>
          <w:szCs w:val="20"/>
        </w:rPr>
        <w:t xml:space="preserve"> above.</w:t>
      </w:r>
    </w:p>
  </w:footnote>
  <w:footnote w:id="24">
    <w:p w14:paraId="6AADA225" w14:textId="77777777" w:rsidR="00E43B54" w:rsidRPr="0088609C" w:rsidRDefault="00E43B54" w:rsidP="00E43B54">
      <w:pPr>
        <w:spacing w:after="0" w:line="240" w:lineRule="auto"/>
        <w:rPr>
          <w:szCs w:val="20"/>
        </w:rPr>
      </w:pPr>
      <w:r w:rsidRPr="0088609C">
        <w:rPr>
          <w:color w:val="000000" w:themeColor="text1"/>
          <w:szCs w:val="20"/>
          <w:vertAlign w:val="superscript"/>
        </w:rPr>
        <w:footnoteRef/>
      </w:r>
      <w:r w:rsidRPr="0088609C">
        <w:rPr>
          <w:color w:val="000000" w:themeColor="text1"/>
          <w:szCs w:val="20"/>
        </w:rPr>
        <w:t xml:space="preserve"> </w:t>
      </w:r>
      <w:r w:rsidRPr="0088609C">
        <w:rPr>
          <w:color w:val="000000" w:themeColor="text1"/>
          <w:szCs w:val="20"/>
          <w:highlight w:val="white"/>
        </w:rPr>
        <w:t xml:space="preserve">See </w:t>
      </w:r>
      <w:r w:rsidRPr="0088609C">
        <w:rPr>
          <w:szCs w:val="20"/>
          <w:highlight w:val="white"/>
        </w:rPr>
        <w:t xml:space="preserve">for example the information collected by the Advocacy and Legal Advice </w:t>
      </w:r>
      <w:proofErr w:type="spellStart"/>
      <w:r w:rsidRPr="0088609C">
        <w:rPr>
          <w:szCs w:val="20"/>
          <w:highlight w:val="white"/>
        </w:rPr>
        <w:t>Centers</w:t>
      </w:r>
      <w:proofErr w:type="spellEnd"/>
      <w:r w:rsidRPr="0088609C">
        <w:rPr>
          <w:szCs w:val="20"/>
          <w:highlight w:val="white"/>
        </w:rPr>
        <w:t xml:space="preserve"> (ALACs) from Transparency International: </w:t>
      </w:r>
      <w:hyperlink r:id="rId21">
        <w:r w:rsidRPr="0088609C">
          <w:rPr>
            <w:rFonts w:eastAsia="Roboto" w:cs="Roboto"/>
            <w:color w:val="0B57D0"/>
            <w:szCs w:val="20"/>
            <w:highlight w:val="white"/>
            <w:u w:val="single"/>
          </w:rPr>
          <w:t>https://www.transparency.org/en/alacs</w:t>
        </w:r>
      </w:hyperlink>
      <w:r w:rsidRPr="0088609C">
        <w:rPr>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AE2D" w14:textId="1390B804" w:rsidR="00D7094D" w:rsidRDefault="00000000">
    <w:pPr>
      <w:pStyle w:val="Header"/>
    </w:pPr>
    <w:sdt>
      <w:sdtPr>
        <w:alias w:val="Title"/>
        <w:tag w:val=""/>
        <w:id w:val="-1611743474"/>
        <w:dataBinding w:prefixMappings="xmlns:ns0='http://purl.org/dc/elements/1.1/' xmlns:ns1='http://schemas.openxmlformats.org/package/2006/metadata/core-properties' " w:xpath="/ns1:coreProperties[1]/ns0:title[1]" w:storeItemID="{6C3C8BC8-F283-45AE-878A-BAB7291924A1}"/>
        <w:text/>
      </w:sdtPr>
      <w:sdtContent>
        <w:r w:rsidR="00E43B54">
          <w:t>Gender Mainstreaming in Anti-Corruption Efforts</w:t>
        </w:r>
      </w:sdtContent>
    </w:sdt>
    <w:r w:rsidR="00D7094D">
      <w:t xml:space="preserve"> · UNCAC Coalition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3BC4" w14:textId="77777777" w:rsidR="00B155B7" w:rsidRDefault="00B155B7" w:rsidP="00D7094D"/>
  <w:p w14:paraId="7DD39106" w14:textId="64963F24" w:rsidR="00BC2368" w:rsidRDefault="00B155B7" w:rsidP="00D7094D">
    <w:r>
      <w:rPr>
        <w:noProof/>
        <w14:ligatures w14:val="none"/>
        <w14:numForm w14:val="default"/>
        <w14:numSpacing w14:val="default"/>
        <w14:cntxtAlts w14:val="0"/>
      </w:rPr>
      <w:drawing>
        <wp:inline distT="0" distB="0" distL="0" distR="0" wp14:anchorId="507E7C61" wp14:editId="11893F36">
          <wp:extent cx="2514481" cy="655782"/>
          <wp:effectExtent l="0" t="0" r="635" b="5080"/>
          <wp:docPr id="107603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34536" name="Picture 1076034536"/>
                  <pic:cNvPicPr/>
                </pic:nvPicPr>
                <pic:blipFill>
                  <a:blip r:embed="rId1">
                    <a:extLst>
                      <a:ext uri="{28A0092B-C50C-407E-A947-70E740481C1C}">
                        <a14:useLocalDpi xmlns:a14="http://schemas.microsoft.com/office/drawing/2010/main" val="0"/>
                      </a:ext>
                    </a:extLst>
                  </a:blip>
                  <a:stretch>
                    <a:fillRect/>
                  </a:stretch>
                </pic:blipFill>
                <pic:spPr>
                  <a:xfrm>
                    <a:off x="0" y="0"/>
                    <a:ext cx="2561957" cy="668164"/>
                  </a:xfrm>
                  <a:prstGeom prst="rect">
                    <a:avLst/>
                  </a:prstGeom>
                </pic:spPr>
              </pic:pic>
            </a:graphicData>
          </a:graphic>
        </wp:inline>
      </w:drawing>
    </w:r>
  </w:p>
  <w:p w14:paraId="459606D2" w14:textId="77777777" w:rsidR="00BC2368" w:rsidRDefault="00BC2368" w:rsidP="00D709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C65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52F4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4CE4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54E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4A24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524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0AB6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0C7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30E3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C488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C1C50"/>
    <w:multiLevelType w:val="multilevel"/>
    <w:tmpl w:val="9A16A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B1848E8"/>
    <w:multiLevelType w:val="multilevel"/>
    <w:tmpl w:val="5D060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B520530"/>
    <w:multiLevelType w:val="hybridMultilevel"/>
    <w:tmpl w:val="54F6F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633F3F"/>
    <w:multiLevelType w:val="multilevel"/>
    <w:tmpl w:val="CF14D2EC"/>
    <w:numStyleLink w:val="UnorderedList"/>
  </w:abstractNum>
  <w:abstractNum w:abstractNumId="14" w15:restartNumberingAfterBreak="0">
    <w:nsid w:val="11773DB0"/>
    <w:multiLevelType w:val="multilevel"/>
    <w:tmpl w:val="88C8FA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11912A2A"/>
    <w:multiLevelType w:val="multilevel"/>
    <w:tmpl w:val="A55418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23E1732"/>
    <w:multiLevelType w:val="multilevel"/>
    <w:tmpl w:val="1F00C5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143E5593"/>
    <w:multiLevelType w:val="multilevel"/>
    <w:tmpl w:val="7D3A9DA2"/>
    <w:lvl w:ilvl="0">
      <w:start w:val="1"/>
      <w:numFmt w:val="bullet"/>
      <w:pStyle w:val="ListBullet"/>
      <w:lvlText w:val=""/>
      <w:lvlJc w:val="left"/>
      <w:pPr>
        <w:ind w:left="340" w:hanging="340"/>
      </w:pPr>
      <w:rPr>
        <w:rFonts w:ascii="Symbol" w:hAnsi="Symbol" w:hint="default"/>
      </w:rPr>
    </w:lvl>
    <w:lvl w:ilvl="1">
      <w:start w:val="1"/>
      <w:numFmt w:val="bullet"/>
      <w:pStyle w:val="ListBullet2"/>
      <w:lvlText w:val="o"/>
      <w:lvlJc w:val="left"/>
      <w:pPr>
        <w:ind w:left="907" w:hanging="340"/>
      </w:pPr>
      <w:rPr>
        <w:rFonts w:ascii="Courier New" w:hAnsi="Courier New" w:cs="Courier New" w:hint="default"/>
      </w:rPr>
    </w:lvl>
    <w:lvl w:ilvl="2">
      <w:start w:val="1"/>
      <w:numFmt w:val="bullet"/>
      <w:pStyle w:val="ListBullet3"/>
      <w:lvlText w:val=""/>
      <w:lvlJc w:val="left"/>
      <w:pPr>
        <w:ind w:left="1474" w:hanging="340"/>
      </w:pPr>
      <w:rPr>
        <w:rFonts w:ascii="Wingdings" w:hAnsi="Wingdings" w:hint="default"/>
      </w:rPr>
    </w:lvl>
    <w:lvl w:ilvl="3">
      <w:start w:val="1"/>
      <w:numFmt w:val="bullet"/>
      <w:pStyle w:val="ListBullet4"/>
      <w:lvlText w:val=""/>
      <w:lvlJc w:val="left"/>
      <w:pPr>
        <w:ind w:left="2041" w:hanging="340"/>
      </w:pPr>
      <w:rPr>
        <w:rFonts w:ascii="Symbol" w:hAnsi="Symbol" w:hint="default"/>
      </w:rPr>
    </w:lvl>
    <w:lvl w:ilvl="4">
      <w:start w:val="1"/>
      <w:numFmt w:val="bullet"/>
      <w:pStyle w:val="ListBullet5"/>
      <w:lvlText w:val="o"/>
      <w:lvlJc w:val="left"/>
      <w:pPr>
        <w:ind w:left="2608"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742" w:hanging="340"/>
      </w:pPr>
      <w:rPr>
        <w:rFonts w:ascii="Symbol" w:hAnsi="Symbol" w:hint="default"/>
      </w:rPr>
    </w:lvl>
    <w:lvl w:ilvl="7">
      <w:start w:val="1"/>
      <w:numFmt w:val="bullet"/>
      <w:lvlText w:val="o"/>
      <w:lvlJc w:val="left"/>
      <w:pPr>
        <w:ind w:left="4309" w:hanging="340"/>
      </w:pPr>
      <w:rPr>
        <w:rFonts w:ascii="Courier New" w:hAnsi="Courier New" w:cs="Courier New" w:hint="default"/>
      </w:rPr>
    </w:lvl>
    <w:lvl w:ilvl="8">
      <w:start w:val="1"/>
      <w:numFmt w:val="bullet"/>
      <w:lvlText w:val=""/>
      <w:lvlJc w:val="left"/>
      <w:pPr>
        <w:ind w:left="4876" w:hanging="340"/>
      </w:pPr>
      <w:rPr>
        <w:rFonts w:ascii="Wingdings" w:hAnsi="Wingdings" w:hint="default"/>
      </w:rPr>
    </w:lvl>
  </w:abstractNum>
  <w:abstractNum w:abstractNumId="18" w15:restartNumberingAfterBreak="0">
    <w:nsid w:val="14401850"/>
    <w:multiLevelType w:val="multilevel"/>
    <w:tmpl w:val="E5CC67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155344EF"/>
    <w:multiLevelType w:val="multilevel"/>
    <w:tmpl w:val="B920A6A8"/>
    <w:lvl w:ilvl="0">
      <w:start w:val="1"/>
      <w:numFmt w:val="decimal"/>
      <w:lvlText w:val="%1."/>
      <w:lvlJc w:val="left"/>
      <w:pPr>
        <w:ind w:left="567" w:hanging="340"/>
      </w:pPr>
      <w:rPr>
        <w:rFonts w:hint="default"/>
      </w:rPr>
    </w:lvl>
    <w:lvl w:ilvl="1">
      <w:start w:val="1"/>
      <w:numFmt w:val="lowerLetter"/>
      <w:lvlText w:val="%2."/>
      <w:lvlJc w:val="left"/>
      <w:pPr>
        <w:ind w:left="1134" w:hanging="340"/>
      </w:pPr>
      <w:rPr>
        <w:rFonts w:hint="default"/>
      </w:rPr>
    </w:lvl>
    <w:lvl w:ilvl="2">
      <w:start w:val="1"/>
      <w:numFmt w:val="lowerRoman"/>
      <w:lvlText w:val="%3."/>
      <w:lvlJc w:val="left"/>
      <w:pPr>
        <w:ind w:left="1701" w:hanging="340"/>
      </w:pPr>
      <w:rPr>
        <w:rFonts w:hint="default"/>
      </w:rPr>
    </w:lvl>
    <w:lvl w:ilvl="3">
      <w:start w:val="1"/>
      <w:numFmt w:val="decimal"/>
      <w:lvlText w:val="%4."/>
      <w:lvlJc w:val="left"/>
      <w:pPr>
        <w:ind w:left="2268" w:hanging="340"/>
      </w:pPr>
      <w:rPr>
        <w:rFonts w:hint="default"/>
      </w:rPr>
    </w:lvl>
    <w:lvl w:ilvl="4">
      <w:start w:val="1"/>
      <w:numFmt w:val="lowerLetter"/>
      <w:lvlText w:val="%5."/>
      <w:lvlJc w:val="left"/>
      <w:pPr>
        <w:ind w:left="2835" w:hanging="340"/>
      </w:pPr>
      <w:rPr>
        <w:rFonts w:hint="default"/>
      </w:rPr>
    </w:lvl>
    <w:lvl w:ilvl="5">
      <w:start w:val="1"/>
      <w:numFmt w:val="lowerRoman"/>
      <w:lvlText w:val="%6."/>
      <w:lvlJc w:val="left"/>
      <w:pPr>
        <w:ind w:left="3402" w:hanging="340"/>
      </w:pPr>
      <w:rPr>
        <w:rFonts w:hint="default"/>
      </w:rPr>
    </w:lvl>
    <w:lvl w:ilvl="6">
      <w:start w:val="1"/>
      <w:numFmt w:val="decimal"/>
      <w:lvlText w:val="%7."/>
      <w:lvlJc w:val="left"/>
      <w:pPr>
        <w:ind w:left="3969" w:hanging="340"/>
      </w:pPr>
      <w:rPr>
        <w:rFonts w:hint="default"/>
      </w:rPr>
    </w:lvl>
    <w:lvl w:ilvl="7">
      <w:start w:val="1"/>
      <w:numFmt w:val="lowerLetter"/>
      <w:lvlText w:val="%8."/>
      <w:lvlJc w:val="left"/>
      <w:pPr>
        <w:ind w:left="4536" w:hanging="340"/>
      </w:pPr>
      <w:rPr>
        <w:rFonts w:hint="default"/>
      </w:rPr>
    </w:lvl>
    <w:lvl w:ilvl="8">
      <w:start w:val="1"/>
      <w:numFmt w:val="lowerRoman"/>
      <w:lvlText w:val="%9."/>
      <w:lvlJc w:val="left"/>
      <w:pPr>
        <w:ind w:left="5103" w:hanging="340"/>
      </w:pPr>
      <w:rPr>
        <w:rFonts w:hint="default"/>
      </w:rPr>
    </w:lvl>
  </w:abstractNum>
  <w:abstractNum w:abstractNumId="20" w15:restartNumberingAfterBreak="0">
    <w:nsid w:val="15742AD9"/>
    <w:multiLevelType w:val="multilevel"/>
    <w:tmpl w:val="CF14D2EC"/>
    <w:numStyleLink w:val="UnorderedList"/>
  </w:abstractNum>
  <w:abstractNum w:abstractNumId="21" w15:restartNumberingAfterBreak="0">
    <w:nsid w:val="16EE537E"/>
    <w:multiLevelType w:val="multilevel"/>
    <w:tmpl w:val="BA109B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04C39D7"/>
    <w:multiLevelType w:val="multilevel"/>
    <w:tmpl w:val="4C12E7D6"/>
    <w:lvl w:ilvl="0">
      <w:start w:val="1"/>
      <w:numFmt w:val="decimal"/>
      <w:lvlText w:val="%1)"/>
      <w:lvlJc w:val="left"/>
      <w:pPr>
        <w:ind w:left="720" w:hanging="360"/>
      </w:pPr>
      <w:rPr>
        <w:rFonts w:ascii="Calibri" w:eastAsia="Calibri" w:hAnsi="Calibri" w:cs="Calibri"/>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1DC3B1D"/>
    <w:multiLevelType w:val="multilevel"/>
    <w:tmpl w:val="B920A6A8"/>
    <w:lvl w:ilvl="0">
      <w:start w:val="1"/>
      <w:numFmt w:val="decimal"/>
      <w:pStyle w:val="ListNumber"/>
      <w:lvlText w:val="%1."/>
      <w:lvlJc w:val="left"/>
      <w:pPr>
        <w:ind w:left="567" w:hanging="340"/>
      </w:pPr>
      <w:rPr>
        <w:rFonts w:hint="default"/>
      </w:rPr>
    </w:lvl>
    <w:lvl w:ilvl="1">
      <w:start w:val="1"/>
      <w:numFmt w:val="lowerLetter"/>
      <w:pStyle w:val="ListNumber2"/>
      <w:lvlText w:val="%2."/>
      <w:lvlJc w:val="left"/>
      <w:pPr>
        <w:ind w:left="1134" w:hanging="340"/>
      </w:pPr>
      <w:rPr>
        <w:rFonts w:hint="default"/>
      </w:rPr>
    </w:lvl>
    <w:lvl w:ilvl="2">
      <w:start w:val="1"/>
      <w:numFmt w:val="lowerRoman"/>
      <w:pStyle w:val="ListNumber3"/>
      <w:lvlText w:val="%3."/>
      <w:lvlJc w:val="left"/>
      <w:pPr>
        <w:ind w:left="1701" w:hanging="340"/>
      </w:pPr>
      <w:rPr>
        <w:rFonts w:hint="default"/>
      </w:rPr>
    </w:lvl>
    <w:lvl w:ilvl="3">
      <w:start w:val="1"/>
      <w:numFmt w:val="decimal"/>
      <w:pStyle w:val="ListNumber4"/>
      <w:lvlText w:val="%4."/>
      <w:lvlJc w:val="left"/>
      <w:pPr>
        <w:ind w:left="2268" w:hanging="340"/>
      </w:pPr>
      <w:rPr>
        <w:rFonts w:hint="default"/>
      </w:rPr>
    </w:lvl>
    <w:lvl w:ilvl="4">
      <w:start w:val="1"/>
      <w:numFmt w:val="lowerLetter"/>
      <w:pStyle w:val="ListNumber5"/>
      <w:lvlText w:val="%5."/>
      <w:lvlJc w:val="left"/>
      <w:pPr>
        <w:ind w:left="2835" w:hanging="340"/>
      </w:pPr>
      <w:rPr>
        <w:rFonts w:hint="default"/>
      </w:rPr>
    </w:lvl>
    <w:lvl w:ilvl="5">
      <w:start w:val="1"/>
      <w:numFmt w:val="lowerRoman"/>
      <w:lvlText w:val="%6."/>
      <w:lvlJc w:val="left"/>
      <w:pPr>
        <w:ind w:left="3402" w:hanging="340"/>
      </w:pPr>
      <w:rPr>
        <w:rFonts w:hint="default"/>
      </w:rPr>
    </w:lvl>
    <w:lvl w:ilvl="6">
      <w:start w:val="1"/>
      <w:numFmt w:val="decimal"/>
      <w:lvlText w:val="%7."/>
      <w:lvlJc w:val="left"/>
      <w:pPr>
        <w:ind w:left="3969" w:hanging="340"/>
      </w:pPr>
      <w:rPr>
        <w:rFonts w:hint="default"/>
      </w:rPr>
    </w:lvl>
    <w:lvl w:ilvl="7">
      <w:start w:val="1"/>
      <w:numFmt w:val="lowerLetter"/>
      <w:lvlText w:val="%8."/>
      <w:lvlJc w:val="left"/>
      <w:pPr>
        <w:ind w:left="4536" w:hanging="340"/>
      </w:pPr>
      <w:rPr>
        <w:rFonts w:hint="default"/>
      </w:rPr>
    </w:lvl>
    <w:lvl w:ilvl="8">
      <w:start w:val="1"/>
      <w:numFmt w:val="lowerRoman"/>
      <w:lvlText w:val="%9."/>
      <w:lvlJc w:val="left"/>
      <w:pPr>
        <w:ind w:left="5103" w:hanging="340"/>
      </w:pPr>
      <w:rPr>
        <w:rFonts w:hint="default"/>
      </w:rPr>
    </w:lvl>
  </w:abstractNum>
  <w:abstractNum w:abstractNumId="24" w15:restartNumberingAfterBreak="0">
    <w:nsid w:val="22391165"/>
    <w:multiLevelType w:val="hybridMultilevel"/>
    <w:tmpl w:val="1194A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5AE2D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6BA74E2"/>
    <w:multiLevelType w:val="multilevel"/>
    <w:tmpl w:val="B64E6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6F07302"/>
    <w:multiLevelType w:val="multilevel"/>
    <w:tmpl w:val="DF1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173711"/>
    <w:multiLevelType w:val="multilevel"/>
    <w:tmpl w:val="B07E7D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2998613A"/>
    <w:multiLevelType w:val="multilevel"/>
    <w:tmpl w:val="8E920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C852241"/>
    <w:multiLevelType w:val="multilevel"/>
    <w:tmpl w:val="9B7C8F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1EC6563"/>
    <w:multiLevelType w:val="multilevel"/>
    <w:tmpl w:val="8E920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359B4393"/>
    <w:multiLevelType w:val="hybridMultilevel"/>
    <w:tmpl w:val="259AE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BE7E87"/>
    <w:multiLevelType w:val="multilevel"/>
    <w:tmpl w:val="86829178"/>
    <w:lvl w:ilvl="0">
      <w:start w:val="1"/>
      <w:numFmt w:val="decimal"/>
      <w:lvlText w:val="%1."/>
      <w:lvlJc w:val="right"/>
      <w:pPr>
        <w:ind w:left="567" w:hanging="170"/>
      </w:pPr>
      <w:rPr>
        <w:rFonts w:hint="default"/>
      </w:rPr>
    </w:lvl>
    <w:lvl w:ilvl="1">
      <w:start w:val="1"/>
      <w:numFmt w:val="lowerLetter"/>
      <w:lvlText w:val="%2."/>
      <w:lvlJc w:val="right"/>
      <w:pPr>
        <w:ind w:left="1134" w:hanging="170"/>
      </w:pPr>
      <w:rPr>
        <w:rFonts w:hint="default"/>
      </w:rPr>
    </w:lvl>
    <w:lvl w:ilvl="2">
      <w:start w:val="1"/>
      <w:numFmt w:val="lowerRoman"/>
      <w:lvlText w:val="%3."/>
      <w:lvlJc w:val="right"/>
      <w:pPr>
        <w:ind w:left="1701" w:hanging="170"/>
      </w:pPr>
      <w:rPr>
        <w:rFonts w:hint="default"/>
      </w:rPr>
    </w:lvl>
    <w:lvl w:ilvl="3">
      <w:start w:val="1"/>
      <w:numFmt w:val="decimal"/>
      <w:lvlText w:val="%4."/>
      <w:lvlJc w:val="right"/>
      <w:pPr>
        <w:ind w:left="2268" w:hanging="170"/>
      </w:pPr>
      <w:rPr>
        <w:rFonts w:hint="default"/>
      </w:rPr>
    </w:lvl>
    <w:lvl w:ilvl="4">
      <w:start w:val="1"/>
      <w:numFmt w:val="lowerLetter"/>
      <w:lvlText w:val="%5."/>
      <w:lvlJc w:val="right"/>
      <w:pPr>
        <w:ind w:left="2835" w:hanging="170"/>
      </w:pPr>
      <w:rPr>
        <w:rFonts w:hint="default"/>
      </w:rPr>
    </w:lvl>
    <w:lvl w:ilvl="5">
      <w:start w:val="1"/>
      <w:numFmt w:val="lowerRoman"/>
      <w:lvlText w:val="%6."/>
      <w:lvlJc w:val="right"/>
      <w:pPr>
        <w:ind w:left="3402" w:hanging="170"/>
      </w:pPr>
      <w:rPr>
        <w:rFonts w:hint="default"/>
      </w:rPr>
    </w:lvl>
    <w:lvl w:ilvl="6">
      <w:start w:val="1"/>
      <w:numFmt w:val="decimal"/>
      <w:lvlText w:val="%7."/>
      <w:lvlJc w:val="right"/>
      <w:pPr>
        <w:ind w:left="3969" w:hanging="170"/>
      </w:pPr>
      <w:rPr>
        <w:rFonts w:hint="default"/>
      </w:rPr>
    </w:lvl>
    <w:lvl w:ilvl="7">
      <w:start w:val="1"/>
      <w:numFmt w:val="lowerLetter"/>
      <w:lvlText w:val="%8."/>
      <w:lvlJc w:val="right"/>
      <w:pPr>
        <w:ind w:left="4536" w:hanging="170"/>
      </w:pPr>
      <w:rPr>
        <w:rFonts w:hint="default"/>
      </w:rPr>
    </w:lvl>
    <w:lvl w:ilvl="8">
      <w:start w:val="1"/>
      <w:numFmt w:val="lowerRoman"/>
      <w:lvlText w:val="%9."/>
      <w:lvlJc w:val="right"/>
      <w:pPr>
        <w:ind w:left="5103" w:hanging="170"/>
      </w:pPr>
      <w:rPr>
        <w:rFonts w:hint="default"/>
      </w:rPr>
    </w:lvl>
  </w:abstractNum>
  <w:abstractNum w:abstractNumId="34" w15:restartNumberingAfterBreak="0">
    <w:nsid w:val="383C2101"/>
    <w:multiLevelType w:val="multilevel"/>
    <w:tmpl w:val="CF14D2EC"/>
    <w:numStyleLink w:val="UnorderedList"/>
  </w:abstractNum>
  <w:abstractNum w:abstractNumId="35" w15:restartNumberingAfterBreak="0">
    <w:nsid w:val="387D5039"/>
    <w:multiLevelType w:val="multilevel"/>
    <w:tmpl w:val="CF14D2EC"/>
    <w:styleLink w:val="UnorderedList"/>
    <w:lvl w:ilvl="0">
      <w:start w:val="1"/>
      <w:numFmt w:val="bullet"/>
      <w:lvlText w:val="●"/>
      <w:lvlJc w:val="left"/>
      <w:pPr>
        <w:ind w:left="567" w:hanging="312"/>
      </w:pPr>
      <w:rPr>
        <w:rFonts w:ascii="Noto Sans" w:hAnsi="Noto Sans" w:hint="default"/>
      </w:rPr>
    </w:lvl>
    <w:lvl w:ilvl="1">
      <w:start w:val="1"/>
      <w:numFmt w:val="bullet"/>
      <w:lvlText w:val="○"/>
      <w:lvlJc w:val="left"/>
      <w:pPr>
        <w:ind w:left="1134" w:hanging="312"/>
      </w:pPr>
      <w:rPr>
        <w:rFonts w:ascii="Noto Sans" w:hAnsi="Noto Sans" w:hint="default"/>
      </w:rPr>
    </w:lvl>
    <w:lvl w:ilvl="2">
      <w:start w:val="1"/>
      <w:numFmt w:val="bullet"/>
      <w:lvlText w:val="▪"/>
      <w:lvlJc w:val="left"/>
      <w:pPr>
        <w:ind w:left="1701" w:hanging="312"/>
      </w:pPr>
      <w:rPr>
        <w:rFonts w:ascii="Noto Sans" w:hAnsi="Noto Sans" w:hint="default"/>
      </w:rPr>
    </w:lvl>
    <w:lvl w:ilvl="3">
      <w:start w:val="1"/>
      <w:numFmt w:val="bullet"/>
      <w:lvlText w:val="▫"/>
      <w:lvlJc w:val="left"/>
      <w:pPr>
        <w:ind w:left="2268" w:hanging="312"/>
      </w:pPr>
      <w:rPr>
        <w:rFonts w:ascii="Noto Sans" w:hAnsi="Noto Sans" w:hint="default"/>
      </w:rPr>
    </w:lvl>
    <w:lvl w:ilvl="4">
      <w:start w:val="1"/>
      <w:numFmt w:val="bullet"/>
      <w:lvlText w:val="•"/>
      <w:lvlJc w:val="left"/>
      <w:pPr>
        <w:ind w:left="2835" w:hanging="312"/>
      </w:pPr>
      <w:rPr>
        <w:rFonts w:ascii="Noto Sans" w:hAnsi="Noto Sans" w:hint="default"/>
      </w:rPr>
    </w:lvl>
    <w:lvl w:ilvl="5">
      <w:start w:val="1"/>
      <w:numFmt w:val="bullet"/>
      <w:lvlText w:val="◦"/>
      <w:lvlJc w:val="left"/>
      <w:pPr>
        <w:ind w:left="3402" w:hanging="312"/>
      </w:pPr>
      <w:rPr>
        <w:rFonts w:ascii="Noto Sans" w:hAnsi="Noto Sans" w:hint="default"/>
      </w:rPr>
    </w:lvl>
    <w:lvl w:ilvl="6">
      <w:start w:val="1"/>
      <w:numFmt w:val="bullet"/>
      <w:lvlText w:val="▪"/>
      <w:lvlJc w:val="left"/>
      <w:pPr>
        <w:ind w:left="3969" w:hanging="312"/>
      </w:pPr>
      <w:rPr>
        <w:rFonts w:ascii="Noto Sans" w:hAnsi="Noto Sans" w:hint="default"/>
      </w:rPr>
    </w:lvl>
    <w:lvl w:ilvl="7">
      <w:start w:val="1"/>
      <w:numFmt w:val="bullet"/>
      <w:lvlText w:val="▫"/>
      <w:lvlJc w:val="left"/>
      <w:pPr>
        <w:ind w:left="4536" w:hanging="312"/>
      </w:pPr>
      <w:rPr>
        <w:rFonts w:ascii="Noto Sans" w:hAnsi="Noto Sans" w:hint="default"/>
      </w:rPr>
    </w:lvl>
    <w:lvl w:ilvl="8">
      <w:start w:val="1"/>
      <w:numFmt w:val="bullet"/>
      <w:lvlText w:val="•"/>
      <w:lvlJc w:val="left"/>
      <w:pPr>
        <w:ind w:left="5103" w:hanging="312"/>
      </w:pPr>
      <w:rPr>
        <w:rFonts w:ascii="Noto Sans" w:hAnsi="Noto Sans" w:hint="default"/>
      </w:rPr>
    </w:lvl>
  </w:abstractNum>
  <w:abstractNum w:abstractNumId="36" w15:restartNumberingAfterBreak="0">
    <w:nsid w:val="3B4F7BF7"/>
    <w:multiLevelType w:val="multilevel"/>
    <w:tmpl w:val="86829178"/>
    <w:styleLink w:val="OrderedList"/>
    <w:lvl w:ilvl="0">
      <w:start w:val="1"/>
      <w:numFmt w:val="decimal"/>
      <w:lvlText w:val="%1."/>
      <w:lvlJc w:val="right"/>
      <w:pPr>
        <w:ind w:left="567" w:hanging="170"/>
      </w:pPr>
      <w:rPr>
        <w:rFonts w:hint="default"/>
      </w:rPr>
    </w:lvl>
    <w:lvl w:ilvl="1">
      <w:start w:val="1"/>
      <w:numFmt w:val="lowerLetter"/>
      <w:lvlText w:val="%2."/>
      <w:lvlJc w:val="right"/>
      <w:pPr>
        <w:ind w:left="1134" w:hanging="170"/>
      </w:pPr>
      <w:rPr>
        <w:rFonts w:hint="default"/>
      </w:rPr>
    </w:lvl>
    <w:lvl w:ilvl="2">
      <w:start w:val="1"/>
      <w:numFmt w:val="lowerRoman"/>
      <w:lvlText w:val="%3."/>
      <w:lvlJc w:val="right"/>
      <w:pPr>
        <w:ind w:left="1701" w:hanging="170"/>
      </w:pPr>
      <w:rPr>
        <w:rFonts w:hint="default"/>
      </w:rPr>
    </w:lvl>
    <w:lvl w:ilvl="3">
      <w:start w:val="1"/>
      <w:numFmt w:val="decimal"/>
      <w:lvlText w:val="%4."/>
      <w:lvlJc w:val="right"/>
      <w:pPr>
        <w:ind w:left="2268" w:hanging="170"/>
      </w:pPr>
      <w:rPr>
        <w:rFonts w:hint="default"/>
      </w:rPr>
    </w:lvl>
    <w:lvl w:ilvl="4">
      <w:start w:val="1"/>
      <w:numFmt w:val="lowerLetter"/>
      <w:lvlText w:val="%5."/>
      <w:lvlJc w:val="right"/>
      <w:pPr>
        <w:ind w:left="2835" w:hanging="170"/>
      </w:pPr>
      <w:rPr>
        <w:rFonts w:hint="default"/>
      </w:rPr>
    </w:lvl>
    <w:lvl w:ilvl="5">
      <w:start w:val="1"/>
      <w:numFmt w:val="lowerRoman"/>
      <w:lvlText w:val="%6."/>
      <w:lvlJc w:val="right"/>
      <w:pPr>
        <w:ind w:left="3402" w:hanging="170"/>
      </w:pPr>
      <w:rPr>
        <w:rFonts w:hint="default"/>
      </w:rPr>
    </w:lvl>
    <w:lvl w:ilvl="6">
      <w:start w:val="1"/>
      <w:numFmt w:val="decimal"/>
      <w:lvlText w:val="%7."/>
      <w:lvlJc w:val="right"/>
      <w:pPr>
        <w:ind w:left="3969" w:hanging="170"/>
      </w:pPr>
      <w:rPr>
        <w:rFonts w:hint="default"/>
      </w:rPr>
    </w:lvl>
    <w:lvl w:ilvl="7">
      <w:start w:val="1"/>
      <w:numFmt w:val="lowerLetter"/>
      <w:lvlText w:val="%8."/>
      <w:lvlJc w:val="right"/>
      <w:pPr>
        <w:ind w:left="4536" w:hanging="170"/>
      </w:pPr>
      <w:rPr>
        <w:rFonts w:hint="default"/>
      </w:rPr>
    </w:lvl>
    <w:lvl w:ilvl="8">
      <w:start w:val="1"/>
      <w:numFmt w:val="lowerRoman"/>
      <w:lvlText w:val="%9."/>
      <w:lvlJc w:val="right"/>
      <w:pPr>
        <w:ind w:left="5103" w:hanging="170"/>
      </w:pPr>
      <w:rPr>
        <w:rFonts w:hint="default"/>
      </w:rPr>
    </w:lvl>
  </w:abstractNum>
  <w:abstractNum w:abstractNumId="37" w15:restartNumberingAfterBreak="0">
    <w:nsid w:val="4514415F"/>
    <w:multiLevelType w:val="multilevel"/>
    <w:tmpl w:val="86829178"/>
    <w:lvl w:ilvl="0">
      <w:start w:val="1"/>
      <w:numFmt w:val="decimal"/>
      <w:lvlText w:val="%1."/>
      <w:lvlJc w:val="right"/>
      <w:pPr>
        <w:ind w:left="567" w:hanging="170"/>
      </w:pPr>
      <w:rPr>
        <w:rFonts w:hint="default"/>
      </w:rPr>
    </w:lvl>
    <w:lvl w:ilvl="1">
      <w:start w:val="1"/>
      <w:numFmt w:val="lowerLetter"/>
      <w:lvlText w:val="%2."/>
      <w:lvlJc w:val="right"/>
      <w:pPr>
        <w:ind w:left="1134" w:hanging="170"/>
      </w:pPr>
      <w:rPr>
        <w:rFonts w:hint="default"/>
      </w:rPr>
    </w:lvl>
    <w:lvl w:ilvl="2">
      <w:start w:val="1"/>
      <w:numFmt w:val="lowerRoman"/>
      <w:lvlText w:val="%3."/>
      <w:lvlJc w:val="right"/>
      <w:pPr>
        <w:ind w:left="1701" w:hanging="170"/>
      </w:pPr>
      <w:rPr>
        <w:rFonts w:hint="default"/>
      </w:rPr>
    </w:lvl>
    <w:lvl w:ilvl="3">
      <w:start w:val="1"/>
      <w:numFmt w:val="decimal"/>
      <w:lvlText w:val="%4."/>
      <w:lvlJc w:val="right"/>
      <w:pPr>
        <w:ind w:left="2268" w:hanging="170"/>
      </w:pPr>
      <w:rPr>
        <w:rFonts w:hint="default"/>
      </w:rPr>
    </w:lvl>
    <w:lvl w:ilvl="4">
      <w:start w:val="1"/>
      <w:numFmt w:val="lowerLetter"/>
      <w:lvlText w:val="%5."/>
      <w:lvlJc w:val="right"/>
      <w:pPr>
        <w:ind w:left="2835" w:hanging="170"/>
      </w:pPr>
      <w:rPr>
        <w:rFonts w:hint="default"/>
      </w:rPr>
    </w:lvl>
    <w:lvl w:ilvl="5">
      <w:start w:val="1"/>
      <w:numFmt w:val="lowerRoman"/>
      <w:lvlText w:val="%6."/>
      <w:lvlJc w:val="right"/>
      <w:pPr>
        <w:ind w:left="3402" w:hanging="170"/>
      </w:pPr>
      <w:rPr>
        <w:rFonts w:hint="default"/>
      </w:rPr>
    </w:lvl>
    <w:lvl w:ilvl="6">
      <w:start w:val="1"/>
      <w:numFmt w:val="decimal"/>
      <w:lvlText w:val="%7."/>
      <w:lvlJc w:val="right"/>
      <w:pPr>
        <w:ind w:left="3969" w:hanging="170"/>
      </w:pPr>
      <w:rPr>
        <w:rFonts w:hint="default"/>
      </w:rPr>
    </w:lvl>
    <w:lvl w:ilvl="7">
      <w:start w:val="1"/>
      <w:numFmt w:val="lowerLetter"/>
      <w:lvlText w:val="%8."/>
      <w:lvlJc w:val="right"/>
      <w:pPr>
        <w:ind w:left="4536" w:hanging="170"/>
      </w:pPr>
      <w:rPr>
        <w:rFonts w:hint="default"/>
      </w:rPr>
    </w:lvl>
    <w:lvl w:ilvl="8">
      <w:start w:val="1"/>
      <w:numFmt w:val="lowerRoman"/>
      <w:lvlText w:val="%9."/>
      <w:lvlJc w:val="right"/>
      <w:pPr>
        <w:ind w:left="5103" w:hanging="170"/>
      </w:pPr>
      <w:rPr>
        <w:rFonts w:hint="default"/>
      </w:rPr>
    </w:lvl>
  </w:abstractNum>
  <w:abstractNum w:abstractNumId="38" w15:restartNumberingAfterBreak="0">
    <w:nsid w:val="4A2958EF"/>
    <w:multiLevelType w:val="multilevel"/>
    <w:tmpl w:val="CF14D2EC"/>
    <w:lvl w:ilvl="0">
      <w:start w:val="1"/>
      <w:numFmt w:val="bullet"/>
      <w:lvlText w:val="●"/>
      <w:lvlJc w:val="left"/>
      <w:pPr>
        <w:ind w:left="567" w:hanging="312"/>
      </w:pPr>
      <w:rPr>
        <w:rFonts w:ascii="Noto Sans" w:hAnsi="Noto Sans" w:hint="default"/>
      </w:rPr>
    </w:lvl>
    <w:lvl w:ilvl="1">
      <w:start w:val="1"/>
      <w:numFmt w:val="bullet"/>
      <w:lvlText w:val="○"/>
      <w:lvlJc w:val="left"/>
      <w:pPr>
        <w:ind w:left="1134" w:hanging="312"/>
      </w:pPr>
      <w:rPr>
        <w:rFonts w:ascii="Noto Sans" w:hAnsi="Noto Sans" w:hint="default"/>
      </w:rPr>
    </w:lvl>
    <w:lvl w:ilvl="2">
      <w:start w:val="1"/>
      <w:numFmt w:val="bullet"/>
      <w:lvlText w:val="▪"/>
      <w:lvlJc w:val="left"/>
      <w:pPr>
        <w:ind w:left="1701" w:hanging="312"/>
      </w:pPr>
      <w:rPr>
        <w:rFonts w:ascii="Noto Sans" w:hAnsi="Noto Sans" w:hint="default"/>
      </w:rPr>
    </w:lvl>
    <w:lvl w:ilvl="3">
      <w:start w:val="1"/>
      <w:numFmt w:val="bullet"/>
      <w:lvlText w:val="▫"/>
      <w:lvlJc w:val="left"/>
      <w:pPr>
        <w:ind w:left="2268" w:hanging="312"/>
      </w:pPr>
      <w:rPr>
        <w:rFonts w:ascii="Noto Sans" w:hAnsi="Noto Sans" w:hint="default"/>
      </w:rPr>
    </w:lvl>
    <w:lvl w:ilvl="4">
      <w:start w:val="1"/>
      <w:numFmt w:val="bullet"/>
      <w:lvlText w:val="•"/>
      <w:lvlJc w:val="left"/>
      <w:pPr>
        <w:ind w:left="2835" w:hanging="312"/>
      </w:pPr>
      <w:rPr>
        <w:rFonts w:ascii="Noto Sans" w:hAnsi="Noto Sans" w:hint="default"/>
      </w:rPr>
    </w:lvl>
    <w:lvl w:ilvl="5">
      <w:start w:val="1"/>
      <w:numFmt w:val="bullet"/>
      <w:lvlText w:val="◦"/>
      <w:lvlJc w:val="left"/>
      <w:pPr>
        <w:ind w:left="3402" w:hanging="312"/>
      </w:pPr>
      <w:rPr>
        <w:rFonts w:ascii="Noto Sans" w:hAnsi="Noto Sans" w:hint="default"/>
      </w:rPr>
    </w:lvl>
    <w:lvl w:ilvl="6">
      <w:start w:val="1"/>
      <w:numFmt w:val="bullet"/>
      <w:lvlText w:val="▪"/>
      <w:lvlJc w:val="left"/>
      <w:pPr>
        <w:ind w:left="3969" w:hanging="312"/>
      </w:pPr>
      <w:rPr>
        <w:rFonts w:ascii="Noto Sans" w:hAnsi="Noto Sans" w:hint="default"/>
      </w:rPr>
    </w:lvl>
    <w:lvl w:ilvl="7">
      <w:start w:val="1"/>
      <w:numFmt w:val="bullet"/>
      <w:lvlText w:val="▫"/>
      <w:lvlJc w:val="left"/>
      <w:pPr>
        <w:ind w:left="4536" w:hanging="312"/>
      </w:pPr>
      <w:rPr>
        <w:rFonts w:ascii="Noto Sans" w:hAnsi="Noto Sans" w:hint="default"/>
      </w:rPr>
    </w:lvl>
    <w:lvl w:ilvl="8">
      <w:start w:val="1"/>
      <w:numFmt w:val="bullet"/>
      <w:lvlText w:val="•"/>
      <w:lvlJc w:val="left"/>
      <w:pPr>
        <w:ind w:left="5103" w:hanging="312"/>
      </w:pPr>
      <w:rPr>
        <w:rFonts w:ascii="Noto Sans" w:hAnsi="Noto Sans" w:hint="default"/>
      </w:rPr>
    </w:lvl>
  </w:abstractNum>
  <w:abstractNum w:abstractNumId="39" w15:restartNumberingAfterBreak="0">
    <w:nsid w:val="4A653A05"/>
    <w:multiLevelType w:val="multilevel"/>
    <w:tmpl w:val="465217D4"/>
    <w:lvl w:ilvl="0">
      <w:start w:val="1"/>
      <w:numFmt w:val="decimal"/>
      <w:lvlText w:val="%1."/>
      <w:lvlJc w:val="left"/>
      <w:pPr>
        <w:ind w:left="567" w:hanging="340"/>
      </w:pPr>
      <w:rPr>
        <w:rFonts w:hint="default"/>
      </w:rPr>
    </w:lvl>
    <w:lvl w:ilvl="1">
      <w:start w:val="1"/>
      <w:numFmt w:val="lowerLetter"/>
      <w:lvlText w:val="%2."/>
      <w:lvlJc w:val="left"/>
      <w:pPr>
        <w:ind w:left="1134" w:hanging="340"/>
      </w:pPr>
      <w:rPr>
        <w:rFonts w:hint="default"/>
      </w:rPr>
    </w:lvl>
    <w:lvl w:ilvl="2">
      <w:start w:val="1"/>
      <w:numFmt w:val="lowerRoman"/>
      <w:lvlText w:val="%3."/>
      <w:lvlJc w:val="left"/>
      <w:pPr>
        <w:ind w:left="1701" w:hanging="340"/>
      </w:pPr>
      <w:rPr>
        <w:rFonts w:hint="default"/>
      </w:rPr>
    </w:lvl>
    <w:lvl w:ilvl="3">
      <w:start w:val="1"/>
      <w:numFmt w:val="decimal"/>
      <w:lvlText w:val="%4."/>
      <w:lvlJc w:val="left"/>
      <w:pPr>
        <w:ind w:left="2268" w:hanging="340"/>
      </w:pPr>
      <w:rPr>
        <w:rFonts w:hint="default"/>
      </w:rPr>
    </w:lvl>
    <w:lvl w:ilvl="4">
      <w:start w:val="1"/>
      <w:numFmt w:val="lowerLetter"/>
      <w:lvlText w:val="%5."/>
      <w:lvlJc w:val="left"/>
      <w:pPr>
        <w:ind w:left="2835" w:hanging="340"/>
      </w:pPr>
      <w:rPr>
        <w:rFonts w:hint="default"/>
      </w:rPr>
    </w:lvl>
    <w:lvl w:ilvl="5">
      <w:start w:val="1"/>
      <w:numFmt w:val="lowerRoman"/>
      <w:lvlText w:val="%6."/>
      <w:lvlJc w:val="left"/>
      <w:pPr>
        <w:ind w:left="3402" w:hanging="340"/>
      </w:pPr>
      <w:rPr>
        <w:rFonts w:hint="default"/>
      </w:rPr>
    </w:lvl>
    <w:lvl w:ilvl="6">
      <w:start w:val="1"/>
      <w:numFmt w:val="decimal"/>
      <w:lvlText w:val="%7."/>
      <w:lvlJc w:val="left"/>
      <w:pPr>
        <w:ind w:left="3969" w:hanging="340"/>
      </w:pPr>
      <w:rPr>
        <w:rFonts w:hint="default"/>
      </w:rPr>
    </w:lvl>
    <w:lvl w:ilvl="7">
      <w:start w:val="1"/>
      <w:numFmt w:val="lowerLetter"/>
      <w:lvlText w:val="%8."/>
      <w:lvlJc w:val="left"/>
      <w:pPr>
        <w:ind w:left="4536" w:hanging="340"/>
      </w:pPr>
      <w:rPr>
        <w:rFonts w:hint="default"/>
      </w:rPr>
    </w:lvl>
    <w:lvl w:ilvl="8">
      <w:start w:val="1"/>
      <w:numFmt w:val="lowerRoman"/>
      <w:lvlText w:val="%9."/>
      <w:lvlJc w:val="left"/>
      <w:pPr>
        <w:ind w:left="5103" w:hanging="340"/>
      </w:pPr>
      <w:rPr>
        <w:rFonts w:hint="default"/>
      </w:rPr>
    </w:lvl>
  </w:abstractNum>
  <w:abstractNum w:abstractNumId="40" w15:restartNumberingAfterBreak="0">
    <w:nsid w:val="502F6218"/>
    <w:multiLevelType w:val="multilevel"/>
    <w:tmpl w:val="CF14D2EC"/>
    <w:numStyleLink w:val="UnorderedList"/>
  </w:abstractNum>
  <w:abstractNum w:abstractNumId="41" w15:restartNumberingAfterBreak="0">
    <w:nsid w:val="5C1855BF"/>
    <w:multiLevelType w:val="multilevel"/>
    <w:tmpl w:val="99A26F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613A3F18"/>
    <w:multiLevelType w:val="multilevel"/>
    <w:tmpl w:val="C2BAE3D2"/>
    <w:lvl w:ilvl="0">
      <w:start w:val="1"/>
      <w:numFmt w:val="bullet"/>
      <w:lvlText w:val=""/>
      <w:lvlJc w:val="left"/>
      <w:pPr>
        <w:ind w:left="567" w:hanging="340"/>
      </w:pPr>
      <w:rPr>
        <w:rFonts w:ascii="Symbol" w:hAnsi="Symbol" w:hint="default"/>
      </w:rPr>
    </w:lvl>
    <w:lvl w:ilvl="1">
      <w:start w:val="1"/>
      <w:numFmt w:val="bullet"/>
      <w:lvlText w:val="o"/>
      <w:lvlJc w:val="left"/>
      <w:pPr>
        <w:ind w:left="1134" w:hanging="340"/>
      </w:pPr>
      <w:rPr>
        <w:rFonts w:ascii="Courier New" w:hAnsi="Courier New" w:cs="Courier New" w:hint="default"/>
      </w:rPr>
    </w:lvl>
    <w:lvl w:ilvl="2">
      <w:start w:val="1"/>
      <w:numFmt w:val="bullet"/>
      <w:lvlText w:val=""/>
      <w:lvlJc w:val="left"/>
      <w:pPr>
        <w:ind w:left="1701" w:hanging="340"/>
      </w:pPr>
      <w:rPr>
        <w:rFonts w:ascii="Wingdings" w:hAnsi="Wingdings" w:hint="default"/>
      </w:rPr>
    </w:lvl>
    <w:lvl w:ilvl="3">
      <w:start w:val="1"/>
      <w:numFmt w:val="bullet"/>
      <w:lvlText w:val=""/>
      <w:lvlJc w:val="left"/>
      <w:pPr>
        <w:ind w:left="2268"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402" w:hanging="340"/>
      </w:pPr>
      <w:rPr>
        <w:rFonts w:ascii="Wingdings" w:hAnsi="Wingdings" w:hint="default"/>
      </w:rPr>
    </w:lvl>
    <w:lvl w:ilvl="6">
      <w:start w:val="1"/>
      <w:numFmt w:val="bullet"/>
      <w:lvlText w:val=""/>
      <w:lvlJc w:val="left"/>
      <w:pPr>
        <w:ind w:left="3969" w:hanging="340"/>
      </w:pPr>
      <w:rPr>
        <w:rFonts w:ascii="Symbol" w:hAnsi="Symbol" w:hint="default"/>
      </w:rPr>
    </w:lvl>
    <w:lvl w:ilvl="7">
      <w:start w:val="1"/>
      <w:numFmt w:val="bullet"/>
      <w:lvlText w:val="o"/>
      <w:lvlJc w:val="left"/>
      <w:pPr>
        <w:ind w:left="4536" w:hanging="340"/>
      </w:pPr>
      <w:rPr>
        <w:rFonts w:ascii="Courier New" w:hAnsi="Courier New" w:cs="Courier New" w:hint="default"/>
      </w:rPr>
    </w:lvl>
    <w:lvl w:ilvl="8">
      <w:start w:val="1"/>
      <w:numFmt w:val="bullet"/>
      <w:lvlText w:val=""/>
      <w:lvlJc w:val="left"/>
      <w:pPr>
        <w:ind w:left="5103" w:hanging="340"/>
      </w:pPr>
      <w:rPr>
        <w:rFonts w:ascii="Wingdings" w:hAnsi="Wingdings" w:hint="default"/>
      </w:rPr>
    </w:lvl>
  </w:abstractNum>
  <w:abstractNum w:abstractNumId="43" w15:restartNumberingAfterBreak="0">
    <w:nsid w:val="65EF5EF1"/>
    <w:multiLevelType w:val="multilevel"/>
    <w:tmpl w:val="8E920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64D757A"/>
    <w:multiLevelType w:val="hybridMultilevel"/>
    <w:tmpl w:val="94A87580"/>
    <w:lvl w:ilvl="0" w:tplc="7EF87032">
      <w:start w:val="1"/>
      <w:numFmt w:val="bullet"/>
      <w:lvlText w:val=""/>
      <w:lvlJc w:val="left"/>
      <w:pPr>
        <w:ind w:left="5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71FC189D"/>
    <w:multiLevelType w:val="multilevel"/>
    <w:tmpl w:val="E2684B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75337862"/>
    <w:multiLevelType w:val="multilevel"/>
    <w:tmpl w:val="86829178"/>
    <w:numStyleLink w:val="OrderedList"/>
  </w:abstractNum>
  <w:abstractNum w:abstractNumId="47" w15:restartNumberingAfterBreak="0">
    <w:nsid w:val="77B953C3"/>
    <w:multiLevelType w:val="hybridMultilevel"/>
    <w:tmpl w:val="3EF837A2"/>
    <w:lvl w:ilvl="0" w:tplc="5F2CA2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0F1FBE"/>
    <w:multiLevelType w:val="multilevel"/>
    <w:tmpl w:val="C96A62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7BFD746F"/>
    <w:multiLevelType w:val="multilevel"/>
    <w:tmpl w:val="DF1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0012672">
    <w:abstractNumId w:val="9"/>
  </w:num>
  <w:num w:numId="2" w16cid:durableId="1807430742">
    <w:abstractNumId w:val="7"/>
  </w:num>
  <w:num w:numId="3" w16cid:durableId="952129819">
    <w:abstractNumId w:val="6"/>
  </w:num>
  <w:num w:numId="4" w16cid:durableId="1567062258">
    <w:abstractNumId w:val="5"/>
  </w:num>
  <w:num w:numId="5" w16cid:durableId="628165751">
    <w:abstractNumId w:val="4"/>
  </w:num>
  <w:num w:numId="6" w16cid:durableId="127205612">
    <w:abstractNumId w:val="8"/>
  </w:num>
  <w:num w:numId="7" w16cid:durableId="1720396538">
    <w:abstractNumId w:val="3"/>
  </w:num>
  <w:num w:numId="8" w16cid:durableId="111675516">
    <w:abstractNumId w:val="2"/>
  </w:num>
  <w:num w:numId="9" w16cid:durableId="680350625">
    <w:abstractNumId w:val="1"/>
  </w:num>
  <w:num w:numId="10" w16cid:durableId="1612395721">
    <w:abstractNumId w:val="0"/>
  </w:num>
  <w:num w:numId="11" w16cid:durableId="1432167919">
    <w:abstractNumId w:val="44"/>
  </w:num>
  <w:num w:numId="12" w16cid:durableId="1331719821">
    <w:abstractNumId w:val="42"/>
  </w:num>
  <w:num w:numId="13" w16cid:durableId="861482384">
    <w:abstractNumId w:val="17"/>
  </w:num>
  <w:num w:numId="14" w16cid:durableId="582106439">
    <w:abstractNumId w:val="23"/>
  </w:num>
  <w:num w:numId="15" w16cid:durableId="1865901707">
    <w:abstractNumId w:val="47"/>
  </w:num>
  <w:num w:numId="16" w16cid:durableId="556206249">
    <w:abstractNumId w:val="19"/>
  </w:num>
  <w:num w:numId="17" w16cid:durableId="1095858497">
    <w:abstractNumId w:val="25"/>
  </w:num>
  <w:num w:numId="18" w16cid:durableId="1365207615">
    <w:abstractNumId w:val="39"/>
  </w:num>
  <w:num w:numId="19" w16cid:durableId="5523522">
    <w:abstractNumId w:val="24"/>
  </w:num>
  <w:num w:numId="20" w16cid:durableId="74936745">
    <w:abstractNumId w:val="33"/>
  </w:num>
  <w:num w:numId="21" w16cid:durableId="2135323401">
    <w:abstractNumId w:val="21"/>
  </w:num>
  <w:num w:numId="22" w16cid:durableId="853154570">
    <w:abstractNumId w:val="37"/>
  </w:num>
  <w:num w:numId="23" w16cid:durableId="1255749161">
    <w:abstractNumId w:val="12"/>
  </w:num>
  <w:num w:numId="24" w16cid:durableId="1991522804">
    <w:abstractNumId w:val="38"/>
  </w:num>
  <w:num w:numId="25" w16cid:durableId="336814518">
    <w:abstractNumId w:val="36"/>
  </w:num>
  <w:num w:numId="26" w16cid:durableId="1258832564">
    <w:abstractNumId w:val="46"/>
  </w:num>
  <w:num w:numId="27" w16cid:durableId="1795757561">
    <w:abstractNumId w:val="35"/>
  </w:num>
  <w:num w:numId="28" w16cid:durableId="1083455516">
    <w:abstractNumId w:val="40"/>
  </w:num>
  <w:num w:numId="29" w16cid:durableId="1833836052">
    <w:abstractNumId w:val="32"/>
  </w:num>
  <w:num w:numId="30" w16cid:durableId="1973362261">
    <w:abstractNumId w:val="34"/>
  </w:num>
  <w:num w:numId="31" w16cid:durableId="1164590978">
    <w:abstractNumId w:val="34"/>
  </w:num>
  <w:num w:numId="32" w16cid:durableId="1232275561">
    <w:abstractNumId w:val="34"/>
  </w:num>
  <w:num w:numId="33" w16cid:durableId="1476289710">
    <w:abstractNumId w:val="10"/>
  </w:num>
  <w:num w:numId="34" w16cid:durableId="1086881597">
    <w:abstractNumId w:val="13"/>
  </w:num>
  <w:num w:numId="35" w16cid:durableId="83765988">
    <w:abstractNumId w:val="20"/>
  </w:num>
  <w:num w:numId="36" w16cid:durableId="930092454">
    <w:abstractNumId w:val="27"/>
  </w:num>
  <w:num w:numId="37" w16cid:durableId="2082091494">
    <w:abstractNumId w:val="49"/>
  </w:num>
  <w:num w:numId="38" w16cid:durableId="188106140">
    <w:abstractNumId w:val="31"/>
  </w:num>
  <w:num w:numId="39" w16cid:durableId="424307685">
    <w:abstractNumId w:val="43"/>
  </w:num>
  <w:num w:numId="40" w16cid:durableId="755515199">
    <w:abstractNumId w:val="29"/>
  </w:num>
  <w:num w:numId="41" w16cid:durableId="1372538445">
    <w:abstractNumId w:val="30"/>
  </w:num>
  <w:num w:numId="42" w16cid:durableId="141584957">
    <w:abstractNumId w:val="45"/>
  </w:num>
  <w:num w:numId="43" w16cid:durableId="355161668">
    <w:abstractNumId w:val="48"/>
  </w:num>
  <w:num w:numId="44" w16cid:durableId="1685476416">
    <w:abstractNumId w:val="18"/>
  </w:num>
  <w:num w:numId="45" w16cid:durableId="805779541">
    <w:abstractNumId w:val="11"/>
  </w:num>
  <w:num w:numId="46" w16cid:durableId="496389445">
    <w:abstractNumId w:val="15"/>
  </w:num>
  <w:num w:numId="47" w16cid:durableId="1786658851">
    <w:abstractNumId w:val="16"/>
  </w:num>
  <w:num w:numId="48" w16cid:durableId="897016814">
    <w:abstractNumId w:val="41"/>
  </w:num>
  <w:num w:numId="49" w16cid:durableId="1183402658">
    <w:abstractNumId w:val="26"/>
  </w:num>
  <w:num w:numId="50" w16cid:durableId="1602907311">
    <w:abstractNumId w:val="14"/>
  </w:num>
  <w:num w:numId="51" w16cid:durableId="697513463">
    <w:abstractNumId w:val="28"/>
  </w:num>
  <w:num w:numId="52" w16cid:durableId="15917707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8DD"/>
    <w:rsid w:val="00012B88"/>
    <w:rsid w:val="00041907"/>
    <w:rsid w:val="000631F4"/>
    <w:rsid w:val="000A4D29"/>
    <w:rsid w:val="000A6849"/>
    <w:rsid w:val="000D01A1"/>
    <w:rsid w:val="000E1194"/>
    <w:rsid w:val="00112F39"/>
    <w:rsid w:val="00155435"/>
    <w:rsid w:val="001574DB"/>
    <w:rsid w:val="00175D6D"/>
    <w:rsid w:val="001B2B6A"/>
    <w:rsid w:val="001D78E5"/>
    <w:rsid w:val="00210F83"/>
    <w:rsid w:val="00227A8E"/>
    <w:rsid w:val="00227F89"/>
    <w:rsid w:val="002328DD"/>
    <w:rsid w:val="002340F0"/>
    <w:rsid w:val="0024649C"/>
    <w:rsid w:val="00263602"/>
    <w:rsid w:val="00285335"/>
    <w:rsid w:val="002A000E"/>
    <w:rsid w:val="002C0E68"/>
    <w:rsid w:val="00341FA0"/>
    <w:rsid w:val="00367645"/>
    <w:rsid w:val="003F4B7C"/>
    <w:rsid w:val="0046097D"/>
    <w:rsid w:val="0049040C"/>
    <w:rsid w:val="004C76FA"/>
    <w:rsid w:val="004D2156"/>
    <w:rsid w:val="00511E46"/>
    <w:rsid w:val="005174A7"/>
    <w:rsid w:val="005424C3"/>
    <w:rsid w:val="00581DE3"/>
    <w:rsid w:val="005B7B99"/>
    <w:rsid w:val="005D3342"/>
    <w:rsid w:val="005F6BCF"/>
    <w:rsid w:val="006030BC"/>
    <w:rsid w:val="00606825"/>
    <w:rsid w:val="0064600C"/>
    <w:rsid w:val="00696FA6"/>
    <w:rsid w:val="006A558F"/>
    <w:rsid w:val="006B0DF4"/>
    <w:rsid w:val="006C5766"/>
    <w:rsid w:val="006C7FF8"/>
    <w:rsid w:val="006D577B"/>
    <w:rsid w:val="0071751D"/>
    <w:rsid w:val="00730908"/>
    <w:rsid w:val="0074030F"/>
    <w:rsid w:val="007A7570"/>
    <w:rsid w:val="007E32E7"/>
    <w:rsid w:val="00813205"/>
    <w:rsid w:val="00844A15"/>
    <w:rsid w:val="0085245E"/>
    <w:rsid w:val="008742AC"/>
    <w:rsid w:val="0088609C"/>
    <w:rsid w:val="00895A5E"/>
    <w:rsid w:val="008A16A1"/>
    <w:rsid w:val="008A5E35"/>
    <w:rsid w:val="008B62F6"/>
    <w:rsid w:val="008C0686"/>
    <w:rsid w:val="008C79BC"/>
    <w:rsid w:val="008D52FF"/>
    <w:rsid w:val="00903873"/>
    <w:rsid w:val="00916121"/>
    <w:rsid w:val="009357FA"/>
    <w:rsid w:val="00965D70"/>
    <w:rsid w:val="009B0057"/>
    <w:rsid w:val="009D3C57"/>
    <w:rsid w:val="009E4B83"/>
    <w:rsid w:val="009E6E9C"/>
    <w:rsid w:val="009F4C24"/>
    <w:rsid w:val="00A60CD4"/>
    <w:rsid w:val="00A84359"/>
    <w:rsid w:val="00AA5163"/>
    <w:rsid w:val="00AF0463"/>
    <w:rsid w:val="00AF402E"/>
    <w:rsid w:val="00B155B7"/>
    <w:rsid w:val="00B71D8D"/>
    <w:rsid w:val="00B80A0A"/>
    <w:rsid w:val="00BB1312"/>
    <w:rsid w:val="00BC2368"/>
    <w:rsid w:val="00C035FB"/>
    <w:rsid w:val="00C16902"/>
    <w:rsid w:val="00C2535D"/>
    <w:rsid w:val="00C743FD"/>
    <w:rsid w:val="00C96A49"/>
    <w:rsid w:val="00CC53EA"/>
    <w:rsid w:val="00CC7BFE"/>
    <w:rsid w:val="00CE4209"/>
    <w:rsid w:val="00D1353C"/>
    <w:rsid w:val="00D154C7"/>
    <w:rsid w:val="00D2459A"/>
    <w:rsid w:val="00D679DB"/>
    <w:rsid w:val="00D7094D"/>
    <w:rsid w:val="00D76561"/>
    <w:rsid w:val="00DB631D"/>
    <w:rsid w:val="00DD49DD"/>
    <w:rsid w:val="00E364C2"/>
    <w:rsid w:val="00E43B54"/>
    <w:rsid w:val="00EC4BAE"/>
    <w:rsid w:val="00EF13D5"/>
    <w:rsid w:val="00F04F4E"/>
    <w:rsid w:val="00F14914"/>
    <w:rsid w:val="00F967BF"/>
    <w:rsid w:val="00FA2530"/>
    <w:rsid w:val="00FC52BA"/>
    <w:rsid w:val="00FD3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4C13F"/>
  <w15:chartTrackingRefBased/>
  <w15:docId w15:val="{8EA3140A-4BB9-984C-B107-97A04D90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156"/>
    <w:pPr>
      <w:spacing w:line="312" w:lineRule="auto"/>
    </w:pPr>
    <w:rPr>
      <w:kern w:val="20"/>
      <w:sz w:val="20"/>
      <w14:ligatures w14:val="standardContextual"/>
      <w14:numForm w14:val="lining"/>
      <w14:numSpacing w14:val="tabular"/>
      <w14:cntxtAlts/>
    </w:rPr>
  </w:style>
  <w:style w:type="paragraph" w:styleId="Heading1">
    <w:name w:val="heading 1"/>
    <w:basedOn w:val="Normal"/>
    <w:next w:val="Normal"/>
    <w:link w:val="Heading1Char"/>
    <w:uiPriority w:val="9"/>
    <w:qFormat/>
    <w:rsid w:val="008D52FF"/>
    <w:pPr>
      <w:keepNext/>
      <w:keepLines/>
      <w:suppressAutoHyphens/>
      <w:spacing w:before="320" w:line="240" w:lineRule="auto"/>
      <w:outlineLvl w:val="0"/>
    </w:pPr>
    <w:rPr>
      <w:rFonts w:asciiTheme="majorHAnsi" w:hAnsiTheme="majorHAnsi"/>
      <w:b/>
      <w:color w:val="AD003D" w:themeColor="accent1"/>
      <w:sz w:val="48"/>
    </w:rPr>
  </w:style>
  <w:style w:type="paragraph" w:styleId="Heading2">
    <w:name w:val="heading 2"/>
    <w:basedOn w:val="Heading1"/>
    <w:next w:val="Normal"/>
    <w:link w:val="Heading2Char"/>
    <w:uiPriority w:val="9"/>
    <w:qFormat/>
    <w:rsid w:val="000A6849"/>
    <w:pPr>
      <w:outlineLvl w:val="1"/>
    </w:pPr>
    <w:rPr>
      <w:sz w:val="32"/>
    </w:rPr>
  </w:style>
  <w:style w:type="paragraph" w:styleId="Heading3">
    <w:name w:val="heading 3"/>
    <w:basedOn w:val="Heading2"/>
    <w:next w:val="Normal"/>
    <w:link w:val="Heading3Char"/>
    <w:uiPriority w:val="9"/>
    <w:qFormat/>
    <w:rsid w:val="00263602"/>
    <w:pPr>
      <w:outlineLvl w:val="2"/>
    </w:pPr>
    <w:rPr>
      <w:b w:val="0"/>
      <w:color w:val="000000" w:themeColor="text1"/>
      <w:sz w:val="24"/>
    </w:rPr>
  </w:style>
  <w:style w:type="paragraph" w:styleId="Heading4">
    <w:name w:val="heading 4"/>
    <w:basedOn w:val="Heading3"/>
    <w:next w:val="Normal"/>
    <w:link w:val="Heading4Char"/>
    <w:uiPriority w:val="9"/>
    <w:unhideWhenUsed/>
    <w:qFormat/>
    <w:rsid w:val="00D154C7"/>
    <w:pPr>
      <w:outlineLvl w:val="3"/>
    </w:pPr>
    <w:rPr>
      <w:color w:val="auto"/>
      <w:sz w:val="22"/>
    </w:rPr>
  </w:style>
  <w:style w:type="paragraph" w:styleId="Heading5">
    <w:name w:val="heading 5"/>
    <w:basedOn w:val="Heading4"/>
    <w:next w:val="Normal"/>
    <w:link w:val="Heading5Char"/>
    <w:uiPriority w:val="9"/>
    <w:unhideWhenUsed/>
    <w:qFormat/>
    <w:rsid w:val="00844A15"/>
    <w:pPr>
      <w:outlineLvl w:val="4"/>
    </w:pPr>
    <w:rPr>
      <w:rFonts w:asciiTheme="minorHAnsi" w:hAnsiTheme="minorHAnsi"/>
      <w:smallCaps/>
    </w:rPr>
  </w:style>
  <w:style w:type="paragraph" w:styleId="Heading6">
    <w:name w:val="heading 6"/>
    <w:basedOn w:val="Heading5"/>
    <w:next w:val="Normal"/>
    <w:link w:val="Heading6Char"/>
    <w:uiPriority w:val="9"/>
    <w:semiHidden/>
    <w:rsid w:val="000A6849"/>
    <w:pPr>
      <w:outlineLvl w:val="5"/>
    </w:pPr>
  </w:style>
  <w:style w:type="paragraph" w:styleId="Heading7">
    <w:name w:val="heading 7"/>
    <w:basedOn w:val="Heading6"/>
    <w:next w:val="Normal"/>
    <w:link w:val="Heading7Char"/>
    <w:uiPriority w:val="9"/>
    <w:semiHidden/>
    <w:rsid w:val="00F04F4E"/>
    <w:pPr>
      <w:outlineLvl w:val="6"/>
    </w:pPr>
  </w:style>
  <w:style w:type="paragraph" w:styleId="Heading8">
    <w:name w:val="heading 8"/>
    <w:basedOn w:val="Heading7"/>
    <w:next w:val="Normal"/>
    <w:link w:val="Heading8Char"/>
    <w:uiPriority w:val="9"/>
    <w:semiHidden/>
    <w:rsid w:val="00F04F4E"/>
    <w:pPr>
      <w:outlineLvl w:val="7"/>
    </w:pPr>
  </w:style>
  <w:style w:type="paragraph" w:styleId="Heading9">
    <w:name w:val="heading 9"/>
    <w:basedOn w:val="Heading8"/>
    <w:next w:val="Normal"/>
    <w:link w:val="Heading9Char"/>
    <w:uiPriority w:val="9"/>
    <w:semiHidden/>
    <w:rsid w:val="00F04F4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BodyText"/>
    <w:next w:val="Normal"/>
    <w:link w:val="TitleChar"/>
    <w:uiPriority w:val="10"/>
    <w:rsid w:val="00263602"/>
    <w:pPr>
      <w:pageBreakBefore/>
      <w:spacing w:before="0" w:after="600"/>
    </w:pPr>
    <w:rPr>
      <w:b w:val="0"/>
      <w:color w:val="000000" w:themeColor="text1"/>
      <w:sz w:val="72"/>
    </w:rPr>
  </w:style>
  <w:style w:type="character" w:customStyle="1" w:styleId="TitleChar">
    <w:name w:val="Title Char"/>
    <w:basedOn w:val="DefaultParagraphFont"/>
    <w:link w:val="Title"/>
    <w:uiPriority w:val="10"/>
    <w:rsid w:val="00263602"/>
    <w:rPr>
      <w:rFonts w:asciiTheme="majorHAnsi" w:hAnsiTheme="majorHAnsi"/>
      <w:color w:val="000000" w:themeColor="text1"/>
      <w:kern w:val="20"/>
      <w:sz w:val="72"/>
      <w14:ligatures w14:val="standardContextual"/>
      <w14:numForm w14:val="lining"/>
      <w14:numSpacing w14:val="tabular"/>
      <w14:cntxtAlts/>
    </w:rPr>
  </w:style>
  <w:style w:type="character" w:customStyle="1" w:styleId="Heading1Char">
    <w:name w:val="Heading 1 Char"/>
    <w:basedOn w:val="DefaultParagraphFont"/>
    <w:link w:val="Heading1"/>
    <w:uiPriority w:val="9"/>
    <w:rsid w:val="008D52FF"/>
    <w:rPr>
      <w:rFonts w:asciiTheme="majorHAnsi" w:hAnsiTheme="majorHAnsi"/>
      <w:b/>
      <w:color w:val="AD003D" w:themeColor="accent1"/>
      <w:kern w:val="20"/>
      <w:sz w:val="48"/>
      <w14:ligatures w14:val="standardContextual"/>
      <w14:numForm w14:val="lining"/>
      <w14:numSpacing w14:val="tabular"/>
      <w14:cntxtAlts/>
    </w:rPr>
  </w:style>
  <w:style w:type="character" w:customStyle="1" w:styleId="Heading2Char">
    <w:name w:val="Heading 2 Char"/>
    <w:basedOn w:val="DefaultParagraphFont"/>
    <w:link w:val="Heading2"/>
    <w:uiPriority w:val="9"/>
    <w:rsid w:val="001D78E5"/>
    <w:rPr>
      <w:rFonts w:asciiTheme="majorHAnsi" w:hAnsiTheme="majorHAnsi"/>
      <w:color w:val="AD003D" w:themeColor="accent1"/>
      <w:sz w:val="32"/>
    </w:rPr>
  </w:style>
  <w:style w:type="character" w:customStyle="1" w:styleId="Heading3Char">
    <w:name w:val="Heading 3 Char"/>
    <w:basedOn w:val="DefaultParagraphFont"/>
    <w:link w:val="Heading3"/>
    <w:uiPriority w:val="9"/>
    <w:rsid w:val="00263602"/>
    <w:rPr>
      <w:rFonts w:asciiTheme="majorHAnsi" w:hAnsiTheme="majorHAnsi"/>
      <w:color w:val="000000" w:themeColor="text1"/>
      <w:kern w:val="20"/>
      <w:sz w:val="24"/>
      <w14:ligatures w14:val="standardContextual"/>
      <w14:numForm w14:val="lining"/>
      <w14:numSpacing w14:val="tabular"/>
      <w14:cntxtAlts/>
    </w:rPr>
  </w:style>
  <w:style w:type="character" w:customStyle="1" w:styleId="Heading4Char">
    <w:name w:val="Heading 4 Char"/>
    <w:basedOn w:val="DefaultParagraphFont"/>
    <w:link w:val="Heading4"/>
    <w:uiPriority w:val="9"/>
    <w:rsid w:val="00D154C7"/>
    <w:rPr>
      <w:rFonts w:asciiTheme="majorHAnsi" w:hAnsiTheme="majorHAnsi"/>
      <w:kern w:val="20"/>
      <w14:ligatures w14:val="standardContextual"/>
      <w14:numForm w14:val="lining"/>
      <w14:numSpacing w14:val="tabular"/>
      <w14:cntxtAlts/>
    </w:rPr>
  </w:style>
  <w:style w:type="paragraph" w:styleId="Subtitle">
    <w:name w:val="Subtitle"/>
    <w:basedOn w:val="Heading2"/>
    <w:next w:val="Normal"/>
    <w:link w:val="SubtitleChar"/>
    <w:uiPriority w:val="11"/>
    <w:rsid w:val="00263602"/>
    <w:pPr>
      <w:spacing w:after="600"/>
      <w:outlineLvl w:val="9"/>
    </w:pPr>
    <w:rPr>
      <w:b w:val="0"/>
      <w:color w:val="000000" w:themeColor="text1"/>
      <w:sz w:val="24"/>
    </w:rPr>
  </w:style>
  <w:style w:type="character" w:customStyle="1" w:styleId="SubtitleChar">
    <w:name w:val="Subtitle Char"/>
    <w:basedOn w:val="DefaultParagraphFont"/>
    <w:link w:val="Subtitle"/>
    <w:uiPriority w:val="11"/>
    <w:rsid w:val="00263602"/>
    <w:rPr>
      <w:rFonts w:asciiTheme="majorHAnsi" w:hAnsiTheme="majorHAnsi"/>
      <w:color w:val="000000" w:themeColor="text1"/>
      <w:kern w:val="20"/>
      <w:sz w:val="24"/>
      <w14:ligatures w14:val="standardContextual"/>
      <w14:numForm w14:val="lining"/>
      <w14:numSpacing w14:val="tabular"/>
      <w14:cntxtAlts/>
    </w:rPr>
  </w:style>
  <w:style w:type="paragraph" w:styleId="ListParagraph">
    <w:name w:val="List Paragraph"/>
    <w:basedOn w:val="BodyTextIndent"/>
    <w:uiPriority w:val="34"/>
    <w:semiHidden/>
    <w:rsid w:val="00227F89"/>
    <w:pPr>
      <w:contextualSpacing/>
    </w:pPr>
  </w:style>
  <w:style w:type="paragraph" w:styleId="NoSpacing">
    <w:name w:val="No Spacing"/>
    <w:basedOn w:val="Normal"/>
    <w:uiPriority w:val="1"/>
    <w:rsid w:val="00CC7BFE"/>
    <w:pPr>
      <w:spacing w:after="0"/>
      <w:contextualSpacing/>
    </w:pPr>
  </w:style>
  <w:style w:type="paragraph" w:styleId="Quote">
    <w:name w:val="Quote"/>
    <w:basedOn w:val="Normal"/>
    <w:next w:val="Normal"/>
    <w:link w:val="QuoteChar"/>
    <w:uiPriority w:val="29"/>
    <w:rsid w:val="000A6849"/>
    <w:pPr>
      <w:spacing w:before="160"/>
      <w:ind w:left="567" w:right="567"/>
    </w:pPr>
  </w:style>
  <w:style w:type="character" w:customStyle="1" w:styleId="QuoteChar">
    <w:name w:val="Quote Char"/>
    <w:basedOn w:val="DefaultParagraphFont"/>
    <w:link w:val="Quote"/>
    <w:uiPriority w:val="29"/>
    <w:rsid w:val="001D78E5"/>
    <w:rPr>
      <w:sz w:val="20"/>
    </w:rPr>
  </w:style>
  <w:style w:type="paragraph" w:styleId="IntenseQuote">
    <w:name w:val="Intense Quote"/>
    <w:basedOn w:val="Normal"/>
    <w:next w:val="Normal"/>
    <w:link w:val="IntenseQuoteChar"/>
    <w:uiPriority w:val="30"/>
    <w:rsid w:val="004D2156"/>
    <w:rPr>
      <w:sz w:val="28"/>
      <w:szCs w:val="30"/>
    </w:rPr>
  </w:style>
  <w:style w:type="character" w:customStyle="1" w:styleId="IntenseQuoteChar">
    <w:name w:val="Intense Quote Char"/>
    <w:basedOn w:val="DefaultParagraphFont"/>
    <w:link w:val="IntenseQuote"/>
    <w:uiPriority w:val="30"/>
    <w:rsid w:val="004D2156"/>
    <w:rPr>
      <w:kern w:val="20"/>
      <w:sz w:val="28"/>
      <w:szCs w:val="30"/>
      <w14:ligatures w14:val="standardContextual"/>
      <w14:numForm w14:val="lining"/>
      <w14:numSpacing w14:val="tabular"/>
      <w14:cntxtAlts/>
    </w:rPr>
  </w:style>
  <w:style w:type="character" w:customStyle="1" w:styleId="Heading5Char">
    <w:name w:val="Heading 5 Char"/>
    <w:basedOn w:val="DefaultParagraphFont"/>
    <w:link w:val="Heading5"/>
    <w:uiPriority w:val="9"/>
    <w:rsid w:val="001D78E5"/>
    <w:rPr>
      <w:smallCaps/>
      <w:sz w:val="20"/>
    </w:rPr>
  </w:style>
  <w:style w:type="character" w:customStyle="1" w:styleId="Heading6Char">
    <w:name w:val="Heading 6 Char"/>
    <w:basedOn w:val="DefaultParagraphFont"/>
    <w:link w:val="Heading6"/>
    <w:uiPriority w:val="9"/>
    <w:semiHidden/>
    <w:rsid w:val="00EF13D5"/>
    <w:rPr>
      <w:smallCaps/>
      <w:kern w:val="20"/>
      <w14:ligatures w14:val="standardContextual"/>
      <w14:numForm w14:val="lining"/>
      <w14:numSpacing w14:val="tabular"/>
      <w14:cntxtAlts/>
    </w:rPr>
  </w:style>
  <w:style w:type="character" w:customStyle="1" w:styleId="Heading7Char">
    <w:name w:val="Heading 7 Char"/>
    <w:basedOn w:val="DefaultParagraphFont"/>
    <w:link w:val="Heading7"/>
    <w:uiPriority w:val="9"/>
    <w:semiHidden/>
    <w:rsid w:val="00EF13D5"/>
    <w:rPr>
      <w:smallCaps/>
      <w:kern w:val="20"/>
      <w14:ligatures w14:val="standardContextual"/>
      <w14:numForm w14:val="lining"/>
      <w14:numSpacing w14:val="tabular"/>
      <w14:cntxtAlts/>
    </w:rPr>
  </w:style>
  <w:style w:type="character" w:styleId="IntenseEmphasis">
    <w:name w:val="Intense Emphasis"/>
    <w:uiPriority w:val="21"/>
    <w:rsid w:val="00EF13D5"/>
    <w:rPr>
      <w:b/>
      <w:bCs/>
      <w:color w:val="AD003D" w:themeColor="accent1"/>
    </w:rPr>
  </w:style>
  <w:style w:type="character" w:styleId="SubtleEmphasis">
    <w:name w:val="Subtle Emphasis"/>
    <w:uiPriority w:val="19"/>
    <w:rsid w:val="00EF13D5"/>
    <w:rPr>
      <w:color w:val="8F7C5D" w:themeColor="background2" w:themeShade="80"/>
    </w:rPr>
  </w:style>
  <w:style w:type="character" w:customStyle="1" w:styleId="Heading8Char">
    <w:name w:val="Heading 8 Char"/>
    <w:basedOn w:val="DefaultParagraphFont"/>
    <w:link w:val="Heading8"/>
    <w:uiPriority w:val="9"/>
    <w:semiHidden/>
    <w:rsid w:val="00EF13D5"/>
    <w:rPr>
      <w:smallCaps/>
      <w:kern w:val="20"/>
      <w14:ligatures w14:val="standardContextual"/>
      <w14:numForm w14:val="lining"/>
      <w14:numSpacing w14:val="tabular"/>
      <w14:cntxtAlts/>
    </w:rPr>
  </w:style>
  <w:style w:type="character" w:customStyle="1" w:styleId="Heading9Char">
    <w:name w:val="Heading 9 Char"/>
    <w:basedOn w:val="DefaultParagraphFont"/>
    <w:link w:val="Heading9"/>
    <w:uiPriority w:val="9"/>
    <w:semiHidden/>
    <w:rsid w:val="00EF13D5"/>
    <w:rPr>
      <w:smallCaps/>
      <w:kern w:val="20"/>
      <w14:ligatures w14:val="standardContextual"/>
      <w14:numForm w14:val="lining"/>
      <w14:numSpacing w14:val="tabular"/>
      <w14:cntxtAlts/>
    </w:rPr>
  </w:style>
  <w:style w:type="table" w:styleId="TableGrid">
    <w:name w:val="Table Grid"/>
    <w:basedOn w:val="TableNormal"/>
    <w:uiPriority w:val="39"/>
    <w:rsid w:val="00D7094D"/>
    <w:pPr>
      <w:spacing w:after="0" w:line="240" w:lineRule="auto"/>
    </w:pPr>
    <w:tblPr>
      <w:tblStyleRowBandSize w:val="1"/>
      <w:tblStyleColBandSize w:val="1"/>
      <w:tblBorders>
        <w:top w:val="single" w:sz="4" w:space="0" w:color="F0EDE8" w:themeColor="background2"/>
        <w:left w:val="single" w:sz="4" w:space="0" w:color="F0EDE8" w:themeColor="background2"/>
        <w:bottom w:val="single" w:sz="4" w:space="0" w:color="F0EDE8" w:themeColor="background2"/>
        <w:right w:val="single" w:sz="4" w:space="0" w:color="F0EDE8" w:themeColor="background2"/>
        <w:insideH w:val="single" w:sz="4" w:space="0" w:color="F0EDE8" w:themeColor="background2"/>
        <w:insideV w:val="single" w:sz="4" w:space="0" w:color="F0EDE8" w:themeColor="background2"/>
      </w:tblBorders>
      <w:tblCellMar>
        <w:top w:w="57" w:type="dxa"/>
        <w:left w:w="85" w:type="dxa"/>
        <w:bottom w:w="28" w:type="dxa"/>
        <w:right w:w="85" w:type="dxa"/>
      </w:tblCellMar>
    </w:tblPr>
    <w:tblStylePr w:type="firstRow">
      <w:pPr>
        <w:keepNext/>
        <w:wordWrap/>
      </w:pPr>
      <w:rPr>
        <w:rFonts w:asciiTheme="minorHAnsi" w:hAnsiTheme="minorHAnsi"/>
        <w:b/>
      </w:rPr>
      <w:tblPr/>
      <w:tcPr>
        <w:shd w:val="clear" w:color="auto" w:fill="F0EDE8" w:themeFill="background2"/>
      </w:tcPr>
    </w:tblStylePr>
    <w:tblStylePr w:type="lastRow">
      <w:rPr>
        <w:rFonts w:asciiTheme="minorHAnsi" w:hAnsiTheme="minorHAnsi"/>
        <w:b/>
      </w:rPr>
      <w:tblPr/>
      <w:tcPr>
        <w:tcBorders>
          <w:top w:val="single" w:sz="4" w:space="0" w:color="870034" w:themeColor="text2"/>
        </w:tcBorders>
      </w:tcPr>
    </w:tblStylePr>
    <w:tblStylePr w:type="firstCol">
      <w:rPr>
        <w:rFonts w:asciiTheme="minorHAnsi" w:hAnsiTheme="minorHAnsi"/>
        <w:b/>
      </w:rPr>
      <w:tblPr/>
      <w:tcPr>
        <w:shd w:val="clear" w:color="auto" w:fill="F0EDE8" w:themeFill="background2"/>
      </w:tcPr>
    </w:tblStylePr>
    <w:tblStylePr w:type="lastCol">
      <w:rPr>
        <w:rFonts w:asciiTheme="minorHAnsi" w:hAnsiTheme="minorHAnsi"/>
        <w:b/>
      </w:rPr>
      <w:tblPr/>
      <w:tcPr>
        <w:tcBorders>
          <w:left w:val="single" w:sz="4" w:space="0" w:color="870034" w:themeColor="text2"/>
        </w:tcBorders>
      </w:tcPr>
    </w:tblStylePr>
    <w:tblStylePr w:type="band1Vert">
      <w:tblPr/>
      <w:tcPr>
        <w:tcBorders>
          <w:left w:val="single" w:sz="4" w:space="0" w:color="870034" w:themeColor="text2"/>
          <w:right w:val="single" w:sz="4" w:space="0" w:color="870034" w:themeColor="text2"/>
        </w:tcBorders>
      </w:tcPr>
    </w:tblStylePr>
    <w:tblStylePr w:type="band2Vert">
      <w:tblPr/>
      <w:tcPr>
        <w:tcBorders>
          <w:left w:val="single" w:sz="4" w:space="0" w:color="870034" w:themeColor="text2"/>
          <w:right w:val="single" w:sz="4" w:space="0" w:color="870034" w:themeColor="text2"/>
        </w:tcBorders>
      </w:tcPr>
    </w:tblStylePr>
    <w:tblStylePr w:type="band1Horz">
      <w:tblPr/>
      <w:tcPr>
        <w:tcBorders>
          <w:top w:val="single" w:sz="4" w:space="0" w:color="870034" w:themeColor="text2"/>
          <w:bottom w:val="single" w:sz="4" w:space="0" w:color="870034" w:themeColor="text2"/>
        </w:tcBorders>
      </w:tcPr>
    </w:tblStylePr>
    <w:tblStylePr w:type="band2Horz">
      <w:tblPr/>
      <w:tcPr>
        <w:tcBorders>
          <w:top w:val="single" w:sz="4" w:space="0" w:color="870034" w:themeColor="text2"/>
          <w:bottom w:val="single" w:sz="4" w:space="0" w:color="870034" w:themeColor="text2"/>
        </w:tcBorders>
      </w:tcPr>
    </w:tblStylePr>
  </w:style>
  <w:style w:type="table" w:styleId="ColourfulListAccent6">
    <w:name w:val="Colorful List Accent 6"/>
    <w:basedOn w:val="TableNormal"/>
    <w:uiPriority w:val="72"/>
    <w:rsid w:val="00F04F4E"/>
    <w:pPr>
      <w:spacing w:after="0" w:line="240" w:lineRule="auto"/>
    </w:pPr>
    <w:rPr>
      <w:color w:val="000000" w:themeColor="text1"/>
    </w:rPr>
    <w:tblPr>
      <w:tblStyleRowBandSize w:val="1"/>
      <w:tblStyleColBandSize w:val="1"/>
    </w:tblPr>
    <w:tcPr>
      <w:shd w:val="clear" w:color="auto" w:fill="FDF4EA" w:themeFill="accent6" w:themeFillTint="19"/>
    </w:tcPr>
    <w:tblStylePr w:type="firstRow">
      <w:rPr>
        <w:b/>
        <w:bCs/>
        <w:color w:val="FFFFFF" w:themeColor="background1"/>
      </w:rPr>
      <w:tblPr/>
      <w:tcPr>
        <w:tcBorders>
          <w:bottom w:val="single" w:sz="12" w:space="0" w:color="FFFFFF" w:themeColor="background1"/>
        </w:tcBorders>
        <w:shd w:val="clear" w:color="auto" w:fill="0C6C41" w:themeFill="accent5" w:themeFillShade="CC"/>
      </w:tcPr>
    </w:tblStylePr>
    <w:tblStylePr w:type="lastRow">
      <w:rPr>
        <w:b/>
        <w:bCs/>
        <w:color w:val="0C6C4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3CA" w:themeFill="accent6" w:themeFillTint="3F"/>
      </w:tcPr>
    </w:tblStylePr>
    <w:tblStylePr w:type="band1Horz">
      <w:tblPr/>
      <w:tcPr>
        <w:shd w:val="clear" w:color="auto" w:fill="FBE8D5" w:themeFill="accent6" w:themeFillTint="33"/>
      </w:tcPr>
    </w:tblStylePr>
  </w:style>
  <w:style w:type="table" w:styleId="TableTheme">
    <w:name w:val="Table Theme"/>
    <w:basedOn w:val="TableNormal"/>
    <w:uiPriority w:val="99"/>
    <w:rsid w:val="00F04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04F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04F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F04F4E"/>
    <w:pPr>
      <w:spacing w:after="0" w:line="240" w:lineRule="auto"/>
    </w:pPr>
    <w:tblPr>
      <w:tblStyleRowBandSize w:val="1"/>
      <w:tblStyleColBandSize w:val="1"/>
      <w:tblBorders>
        <w:top w:val="single" w:sz="4" w:space="0" w:color="FF78A7" w:themeColor="accent1" w:themeTint="66"/>
        <w:left w:val="single" w:sz="4" w:space="0" w:color="FF78A7" w:themeColor="accent1" w:themeTint="66"/>
        <w:bottom w:val="single" w:sz="4" w:space="0" w:color="FF78A7" w:themeColor="accent1" w:themeTint="66"/>
        <w:right w:val="single" w:sz="4" w:space="0" w:color="FF78A7" w:themeColor="accent1" w:themeTint="66"/>
        <w:insideH w:val="single" w:sz="4" w:space="0" w:color="FF78A7" w:themeColor="accent1" w:themeTint="66"/>
        <w:insideV w:val="single" w:sz="4" w:space="0" w:color="FF78A7" w:themeColor="accent1" w:themeTint="66"/>
      </w:tblBorders>
    </w:tblPr>
    <w:tblStylePr w:type="firstRow">
      <w:rPr>
        <w:b/>
        <w:bCs/>
      </w:rPr>
      <w:tblPr/>
      <w:tcPr>
        <w:tcBorders>
          <w:bottom w:val="single" w:sz="12" w:space="0" w:color="FF347B" w:themeColor="accent1" w:themeTint="99"/>
        </w:tcBorders>
      </w:tcPr>
    </w:tblStylePr>
    <w:tblStylePr w:type="lastRow">
      <w:rPr>
        <w:b/>
        <w:bCs/>
      </w:rPr>
      <w:tblPr/>
      <w:tcPr>
        <w:tcBorders>
          <w:top w:val="double" w:sz="2" w:space="0" w:color="FF347B"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F04F4E"/>
    <w:pPr>
      <w:spacing w:after="0" w:line="240" w:lineRule="auto"/>
    </w:pPr>
    <w:tblPr>
      <w:tblStyleRowBandSize w:val="1"/>
      <w:tblStyleColBandSize w:val="1"/>
      <w:tblBorders>
        <w:top w:val="single" w:sz="4" w:space="0" w:color="FF347B" w:themeColor="accent1" w:themeTint="99"/>
        <w:left w:val="single" w:sz="4" w:space="0" w:color="FF347B" w:themeColor="accent1" w:themeTint="99"/>
        <w:bottom w:val="single" w:sz="4" w:space="0" w:color="FF347B" w:themeColor="accent1" w:themeTint="99"/>
        <w:right w:val="single" w:sz="4" w:space="0" w:color="FF347B" w:themeColor="accent1" w:themeTint="99"/>
        <w:insideH w:val="single" w:sz="4" w:space="0" w:color="FF347B" w:themeColor="accent1" w:themeTint="99"/>
        <w:insideV w:val="single" w:sz="4" w:space="0" w:color="FF347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BD2" w:themeFill="accent1" w:themeFillTint="33"/>
      </w:tcPr>
    </w:tblStylePr>
    <w:tblStylePr w:type="band1Horz">
      <w:tblPr/>
      <w:tcPr>
        <w:shd w:val="clear" w:color="auto" w:fill="FFBBD2" w:themeFill="accent1" w:themeFillTint="33"/>
      </w:tcPr>
    </w:tblStylePr>
    <w:tblStylePr w:type="neCell">
      <w:tblPr/>
      <w:tcPr>
        <w:tcBorders>
          <w:bottom w:val="single" w:sz="4" w:space="0" w:color="FF347B" w:themeColor="accent1" w:themeTint="99"/>
        </w:tcBorders>
      </w:tcPr>
    </w:tblStylePr>
    <w:tblStylePr w:type="nwCell">
      <w:tblPr/>
      <w:tcPr>
        <w:tcBorders>
          <w:bottom w:val="single" w:sz="4" w:space="0" w:color="FF347B" w:themeColor="accent1" w:themeTint="99"/>
        </w:tcBorders>
      </w:tcPr>
    </w:tblStylePr>
    <w:tblStylePr w:type="seCell">
      <w:tblPr/>
      <w:tcPr>
        <w:tcBorders>
          <w:top w:val="single" w:sz="4" w:space="0" w:color="FF347B" w:themeColor="accent1" w:themeTint="99"/>
        </w:tcBorders>
      </w:tcPr>
    </w:tblStylePr>
    <w:tblStylePr w:type="swCell">
      <w:tblPr/>
      <w:tcPr>
        <w:tcBorders>
          <w:top w:val="single" w:sz="4" w:space="0" w:color="FF347B" w:themeColor="accent1" w:themeTint="99"/>
        </w:tcBorders>
      </w:tcPr>
    </w:tblStylePr>
  </w:style>
  <w:style w:type="table" w:styleId="GridTable4">
    <w:name w:val="Grid Table 4"/>
    <w:basedOn w:val="TableNormal"/>
    <w:uiPriority w:val="49"/>
    <w:rsid w:val="00F04F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urfulAccent5">
    <w:name w:val="Grid Table 7 Colorful Accent 5"/>
    <w:basedOn w:val="TableNormal"/>
    <w:uiPriority w:val="52"/>
    <w:rsid w:val="00F04F4E"/>
    <w:pPr>
      <w:spacing w:after="0" w:line="240" w:lineRule="auto"/>
    </w:pPr>
    <w:rPr>
      <w:color w:val="0B653D" w:themeColor="accent5" w:themeShade="BF"/>
    </w:rPr>
    <w:tblPr>
      <w:tblStyleRowBandSize w:val="1"/>
      <w:tblStyleColBandSize w:val="1"/>
      <w:tblBorders>
        <w:top w:val="single" w:sz="4" w:space="0" w:color="3CE99C" w:themeColor="accent5" w:themeTint="99"/>
        <w:left w:val="single" w:sz="4" w:space="0" w:color="3CE99C" w:themeColor="accent5" w:themeTint="99"/>
        <w:bottom w:val="single" w:sz="4" w:space="0" w:color="3CE99C" w:themeColor="accent5" w:themeTint="99"/>
        <w:right w:val="single" w:sz="4" w:space="0" w:color="3CE99C" w:themeColor="accent5" w:themeTint="99"/>
        <w:insideH w:val="single" w:sz="4" w:space="0" w:color="3CE99C" w:themeColor="accent5" w:themeTint="99"/>
        <w:insideV w:val="single" w:sz="4" w:space="0" w:color="3CE9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F8DE" w:themeFill="accent5" w:themeFillTint="33"/>
      </w:tcPr>
    </w:tblStylePr>
    <w:tblStylePr w:type="band1Horz">
      <w:tblPr/>
      <w:tcPr>
        <w:shd w:val="clear" w:color="auto" w:fill="BEF8DE" w:themeFill="accent5" w:themeFillTint="33"/>
      </w:tcPr>
    </w:tblStylePr>
    <w:tblStylePr w:type="neCell">
      <w:tblPr/>
      <w:tcPr>
        <w:tcBorders>
          <w:bottom w:val="single" w:sz="4" w:space="0" w:color="3CE99C" w:themeColor="accent5" w:themeTint="99"/>
        </w:tcBorders>
      </w:tcPr>
    </w:tblStylePr>
    <w:tblStylePr w:type="nwCell">
      <w:tblPr/>
      <w:tcPr>
        <w:tcBorders>
          <w:bottom w:val="single" w:sz="4" w:space="0" w:color="3CE99C" w:themeColor="accent5" w:themeTint="99"/>
        </w:tcBorders>
      </w:tcPr>
    </w:tblStylePr>
    <w:tblStylePr w:type="seCell">
      <w:tblPr/>
      <w:tcPr>
        <w:tcBorders>
          <w:top w:val="single" w:sz="4" w:space="0" w:color="3CE99C" w:themeColor="accent5" w:themeTint="99"/>
        </w:tcBorders>
      </w:tcPr>
    </w:tblStylePr>
    <w:tblStylePr w:type="swCell">
      <w:tblPr/>
      <w:tcPr>
        <w:tcBorders>
          <w:top w:val="single" w:sz="4" w:space="0" w:color="3CE99C" w:themeColor="accent5" w:themeTint="99"/>
        </w:tcBorders>
      </w:tcPr>
    </w:tblStylePr>
  </w:style>
  <w:style w:type="table" w:styleId="ListTable1Light-Accent4">
    <w:name w:val="List Table 1 Light Accent 4"/>
    <w:basedOn w:val="TableNormal"/>
    <w:uiPriority w:val="46"/>
    <w:rsid w:val="00F04F4E"/>
    <w:pPr>
      <w:spacing w:after="0" w:line="240" w:lineRule="auto"/>
    </w:pPr>
    <w:tblPr>
      <w:tblStyleRowBandSize w:val="1"/>
      <w:tblStyleColBandSize w:val="1"/>
    </w:tblPr>
    <w:tblStylePr w:type="firstRow">
      <w:rPr>
        <w:b/>
        <w:bCs/>
      </w:rPr>
      <w:tblPr/>
      <w:tcPr>
        <w:tcBorders>
          <w:bottom w:val="single" w:sz="4" w:space="0" w:color="2FFFDF" w:themeColor="accent4" w:themeTint="99"/>
        </w:tcBorders>
      </w:tcPr>
    </w:tblStylePr>
    <w:tblStylePr w:type="lastRow">
      <w:rPr>
        <w:b/>
        <w:bCs/>
      </w:rPr>
      <w:tblPr/>
      <w:tcPr>
        <w:tcBorders>
          <w:top w:val="single" w:sz="4" w:space="0" w:color="2FFFDF" w:themeColor="accent4" w:themeTint="99"/>
        </w:tcBorders>
      </w:tcPr>
    </w:tblStylePr>
    <w:tblStylePr w:type="firstCol">
      <w:rPr>
        <w:b/>
        <w:bCs/>
      </w:rPr>
    </w:tblStylePr>
    <w:tblStylePr w:type="lastCol">
      <w:rPr>
        <w:b/>
        <w:bCs/>
      </w:rPr>
    </w:tblStylePr>
    <w:tblStylePr w:type="band1Vert">
      <w:tblPr/>
      <w:tcPr>
        <w:shd w:val="clear" w:color="auto" w:fill="B9FFF4" w:themeFill="accent4" w:themeFillTint="33"/>
      </w:tcPr>
    </w:tblStylePr>
    <w:tblStylePr w:type="band1Horz">
      <w:tblPr/>
      <w:tcPr>
        <w:shd w:val="clear" w:color="auto" w:fill="B9FFF4" w:themeFill="accent4" w:themeFillTint="33"/>
      </w:tcPr>
    </w:tblStylePr>
  </w:style>
  <w:style w:type="table" w:styleId="ListTable5Dark-Accent3">
    <w:name w:val="List Table 5 Dark Accent 3"/>
    <w:basedOn w:val="TableNormal"/>
    <w:uiPriority w:val="50"/>
    <w:rsid w:val="00F04F4E"/>
    <w:pPr>
      <w:spacing w:after="0" w:line="240" w:lineRule="auto"/>
    </w:pPr>
    <w:rPr>
      <w:color w:val="FFFFFF" w:themeColor="background1"/>
    </w:rPr>
    <w:tblPr>
      <w:tblStyleRowBandSize w:val="1"/>
      <w:tblStyleColBandSize w:val="1"/>
      <w:tblBorders>
        <w:top w:val="single" w:sz="24" w:space="0" w:color="00639C" w:themeColor="accent3"/>
        <w:left w:val="single" w:sz="24" w:space="0" w:color="00639C" w:themeColor="accent3"/>
        <w:bottom w:val="single" w:sz="24" w:space="0" w:color="00639C" w:themeColor="accent3"/>
        <w:right w:val="single" w:sz="24" w:space="0" w:color="00639C" w:themeColor="accent3"/>
      </w:tblBorders>
    </w:tblPr>
    <w:tcPr>
      <w:shd w:val="clear" w:color="auto" w:fill="00639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PlainTable2">
    <w:name w:val="Plain Table 2"/>
    <w:basedOn w:val="TableNormal"/>
    <w:uiPriority w:val="42"/>
    <w:rsid w:val="00F04F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Web2">
    <w:name w:val="Table Web 2"/>
    <w:basedOn w:val="TableNormal"/>
    <w:uiPriority w:val="99"/>
    <w:rsid w:val="00C96A49"/>
    <w:pPr>
      <w:spacing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7ColourfulAccent2">
    <w:name w:val="Grid Table 7 Colorful Accent 2"/>
    <w:basedOn w:val="TableNormal"/>
    <w:uiPriority w:val="52"/>
    <w:rsid w:val="00F04F4E"/>
    <w:pPr>
      <w:spacing w:after="0" w:line="240" w:lineRule="auto"/>
    </w:pPr>
    <w:rPr>
      <w:color w:val="462761" w:themeColor="accent2" w:themeShade="BF"/>
    </w:rPr>
    <w:tblPr>
      <w:tblStyleRowBandSize w:val="1"/>
      <w:tblStyleColBandSize w:val="1"/>
      <w:tblBorders>
        <w:top w:val="single" w:sz="4" w:space="0" w:color="9F72C6" w:themeColor="accent2" w:themeTint="99"/>
        <w:left w:val="single" w:sz="4" w:space="0" w:color="9F72C6" w:themeColor="accent2" w:themeTint="99"/>
        <w:bottom w:val="single" w:sz="4" w:space="0" w:color="9F72C6" w:themeColor="accent2" w:themeTint="99"/>
        <w:right w:val="single" w:sz="4" w:space="0" w:color="9F72C6" w:themeColor="accent2" w:themeTint="99"/>
        <w:insideH w:val="single" w:sz="4" w:space="0" w:color="9F72C6" w:themeColor="accent2" w:themeTint="99"/>
        <w:insideV w:val="single" w:sz="4" w:space="0" w:color="9F72C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0EC" w:themeFill="accent2" w:themeFillTint="33"/>
      </w:tcPr>
    </w:tblStylePr>
    <w:tblStylePr w:type="band1Horz">
      <w:tblPr/>
      <w:tcPr>
        <w:shd w:val="clear" w:color="auto" w:fill="DFD0EC" w:themeFill="accent2" w:themeFillTint="33"/>
      </w:tcPr>
    </w:tblStylePr>
    <w:tblStylePr w:type="neCell">
      <w:tblPr/>
      <w:tcPr>
        <w:tcBorders>
          <w:bottom w:val="single" w:sz="4" w:space="0" w:color="9F72C6" w:themeColor="accent2" w:themeTint="99"/>
        </w:tcBorders>
      </w:tcPr>
    </w:tblStylePr>
    <w:tblStylePr w:type="nwCell">
      <w:tblPr/>
      <w:tcPr>
        <w:tcBorders>
          <w:bottom w:val="single" w:sz="4" w:space="0" w:color="9F72C6" w:themeColor="accent2" w:themeTint="99"/>
        </w:tcBorders>
      </w:tcPr>
    </w:tblStylePr>
    <w:tblStylePr w:type="seCell">
      <w:tblPr/>
      <w:tcPr>
        <w:tcBorders>
          <w:top w:val="single" w:sz="4" w:space="0" w:color="9F72C6" w:themeColor="accent2" w:themeTint="99"/>
        </w:tcBorders>
      </w:tcPr>
    </w:tblStylePr>
    <w:tblStylePr w:type="swCell">
      <w:tblPr/>
      <w:tcPr>
        <w:tcBorders>
          <w:top w:val="single" w:sz="4" w:space="0" w:color="9F72C6" w:themeColor="accent2" w:themeTint="99"/>
        </w:tcBorders>
      </w:tcPr>
    </w:tblStylePr>
  </w:style>
  <w:style w:type="table" w:styleId="GridTable1Light">
    <w:name w:val="Grid Table 1 Light"/>
    <w:basedOn w:val="TableNormal"/>
    <w:uiPriority w:val="46"/>
    <w:rsid w:val="00F04F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BodyText3"/>
    <w:link w:val="FootnoteTextChar"/>
    <w:uiPriority w:val="99"/>
    <w:semiHidden/>
    <w:rsid w:val="001D78E5"/>
    <w:pPr>
      <w:spacing w:after="0"/>
      <w:ind w:left="284" w:hanging="284"/>
    </w:pPr>
  </w:style>
  <w:style w:type="character" w:customStyle="1" w:styleId="FootnoteTextChar">
    <w:name w:val="Footnote Text Char"/>
    <w:basedOn w:val="DefaultParagraphFont"/>
    <w:link w:val="FootnoteText"/>
    <w:uiPriority w:val="99"/>
    <w:semiHidden/>
    <w:rsid w:val="001D78E5"/>
    <w:rPr>
      <w:sz w:val="16"/>
    </w:rPr>
  </w:style>
  <w:style w:type="character" w:styleId="FootnoteReference">
    <w:name w:val="footnote reference"/>
    <w:basedOn w:val="FootnoteTextChar"/>
    <w:uiPriority w:val="99"/>
    <w:semiHidden/>
    <w:rsid w:val="001D78E5"/>
    <w:rPr>
      <w:color w:val="AD003D" w:themeColor="accent1"/>
      <w:sz w:val="20"/>
      <w:vertAlign w:val="superscript"/>
    </w:rPr>
  </w:style>
  <w:style w:type="paragraph" w:styleId="TOCHeading">
    <w:name w:val="TOC Heading"/>
    <w:basedOn w:val="Heading1BodyText"/>
    <w:next w:val="Normal"/>
    <w:uiPriority w:val="39"/>
    <w:semiHidden/>
    <w:qFormat/>
    <w:rsid w:val="005424C3"/>
  </w:style>
  <w:style w:type="paragraph" w:styleId="TOC1">
    <w:name w:val="toc 1"/>
    <w:basedOn w:val="NoSpacing"/>
    <w:next w:val="Normal"/>
    <w:uiPriority w:val="39"/>
    <w:semiHidden/>
    <w:rsid w:val="00DD49DD"/>
    <w:pPr>
      <w:tabs>
        <w:tab w:val="right" w:leader="dot" w:pos="9639"/>
      </w:tabs>
      <w:ind w:left="567" w:hanging="567"/>
    </w:pPr>
    <w:rPr>
      <w:noProof/>
    </w:rPr>
  </w:style>
  <w:style w:type="paragraph" w:styleId="TOC2">
    <w:name w:val="toc 2"/>
    <w:basedOn w:val="TOC1"/>
    <w:next w:val="Normal"/>
    <w:uiPriority w:val="39"/>
    <w:semiHidden/>
    <w:rsid w:val="00DD49DD"/>
    <w:pPr>
      <w:ind w:left="851"/>
    </w:pPr>
  </w:style>
  <w:style w:type="paragraph" w:styleId="TOC3">
    <w:name w:val="toc 3"/>
    <w:basedOn w:val="TOC1"/>
    <w:next w:val="Normal"/>
    <w:uiPriority w:val="39"/>
    <w:semiHidden/>
    <w:rsid w:val="00DD49DD"/>
    <w:pPr>
      <w:ind w:left="1134"/>
    </w:pPr>
  </w:style>
  <w:style w:type="character" w:styleId="Hyperlink">
    <w:name w:val="Hyperlink"/>
    <w:basedOn w:val="DefaultParagraphFont"/>
    <w:uiPriority w:val="99"/>
    <w:semiHidden/>
    <w:rsid w:val="00263602"/>
    <w:rPr>
      <w:color w:val="00639C" w:themeColor="accent3"/>
      <w:u w:val="dotted" w:color="3D8B7A"/>
    </w:rPr>
  </w:style>
  <w:style w:type="paragraph" w:styleId="Caption">
    <w:name w:val="caption"/>
    <w:basedOn w:val="BodyText3"/>
    <w:next w:val="Normal"/>
    <w:uiPriority w:val="35"/>
    <w:semiHidden/>
    <w:qFormat/>
    <w:rsid w:val="00CE4209"/>
    <w:pPr>
      <w:spacing w:before="160"/>
    </w:pPr>
  </w:style>
  <w:style w:type="paragraph" w:styleId="TOAHeading">
    <w:name w:val="toa heading"/>
    <w:basedOn w:val="Heading1BodyText"/>
    <w:next w:val="Normal"/>
    <w:uiPriority w:val="99"/>
    <w:semiHidden/>
    <w:rsid w:val="005424C3"/>
  </w:style>
  <w:style w:type="paragraph" w:styleId="TableofAuthorities">
    <w:name w:val="table of authorities"/>
    <w:basedOn w:val="TOC1"/>
    <w:next w:val="Normal"/>
    <w:uiPriority w:val="99"/>
    <w:semiHidden/>
    <w:rsid w:val="0074030F"/>
  </w:style>
  <w:style w:type="paragraph" w:styleId="TableofFigures">
    <w:name w:val="table of figures"/>
    <w:basedOn w:val="TOC1"/>
    <w:next w:val="Normal"/>
    <w:uiPriority w:val="99"/>
    <w:semiHidden/>
    <w:rsid w:val="0074030F"/>
  </w:style>
  <w:style w:type="paragraph" w:styleId="Bibliography">
    <w:name w:val="Bibliography"/>
    <w:basedOn w:val="TOC1"/>
    <w:next w:val="Normal"/>
    <w:uiPriority w:val="37"/>
    <w:semiHidden/>
    <w:rsid w:val="0074030F"/>
  </w:style>
  <w:style w:type="paragraph" w:styleId="TOC4">
    <w:name w:val="toc 4"/>
    <w:basedOn w:val="TOC1"/>
    <w:next w:val="Normal"/>
    <w:uiPriority w:val="39"/>
    <w:semiHidden/>
    <w:rsid w:val="00DD49DD"/>
    <w:pPr>
      <w:ind w:left="1418"/>
    </w:pPr>
  </w:style>
  <w:style w:type="paragraph" w:styleId="TOC5">
    <w:name w:val="toc 5"/>
    <w:basedOn w:val="TOC1"/>
    <w:next w:val="Normal"/>
    <w:uiPriority w:val="39"/>
    <w:semiHidden/>
    <w:rsid w:val="00DD49DD"/>
    <w:pPr>
      <w:ind w:left="1701"/>
    </w:pPr>
  </w:style>
  <w:style w:type="paragraph" w:styleId="TOC6">
    <w:name w:val="toc 6"/>
    <w:basedOn w:val="TOC1"/>
    <w:next w:val="Normal"/>
    <w:uiPriority w:val="39"/>
    <w:semiHidden/>
    <w:rsid w:val="00DD49DD"/>
    <w:pPr>
      <w:ind w:left="1985"/>
    </w:pPr>
  </w:style>
  <w:style w:type="paragraph" w:styleId="TOC7">
    <w:name w:val="toc 7"/>
    <w:basedOn w:val="TOC1"/>
    <w:next w:val="Normal"/>
    <w:uiPriority w:val="39"/>
    <w:semiHidden/>
    <w:rsid w:val="00DD49DD"/>
    <w:pPr>
      <w:ind w:left="2268"/>
    </w:pPr>
  </w:style>
  <w:style w:type="paragraph" w:styleId="TOC8">
    <w:name w:val="toc 8"/>
    <w:basedOn w:val="TOC1"/>
    <w:next w:val="Normal"/>
    <w:uiPriority w:val="39"/>
    <w:semiHidden/>
    <w:rsid w:val="00DD49DD"/>
    <w:pPr>
      <w:ind w:left="2552"/>
    </w:pPr>
  </w:style>
  <w:style w:type="paragraph" w:styleId="TOC9">
    <w:name w:val="toc 9"/>
    <w:basedOn w:val="TOC1"/>
    <w:next w:val="Normal"/>
    <w:uiPriority w:val="39"/>
    <w:semiHidden/>
    <w:rsid w:val="00DD49DD"/>
    <w:pPr>
      <w:ind w:left="2835"/>
    </w:pPr>
  </w:style>
  <w:style w:type="paragraph" w:styleId="Header">
    <w:name w:val="header"/>
    <w:basedOn w:val="BodyText3"/>
    <w:link w:val="HeaderChar"/>
    <w:uiPriority w:val="99"/>
    <w:semiHidden/>
    <w:rsid w:val="00CE4209"/>
    <w:pPr>
      <w:spacing w:after="0"/>
      <w:contextualSpacing/>
      <w:jc w:val="right"/>
    </w:pPr>
    <w:rPr>
      <w:color w:val="7F7F7F" w:themeColor="text1" w:themeTint="80"/>
    </w:rPr>
  </w:style>
  <w:style w:type="character" w:customStyle="1" w:styleId="HeaderChar">
    <w:name w:val="Header Char"/>
    <w:basedOn w:val="DefaultParagraphFont"/>
    <w:link w:val="Header"/>
    <w:uiPriority w:val="99"/>
    <w:semiHidden/>
    <w:rsid w:val="001D78E5"/>
    <w:rPr>
      <w:color w:val="7F7F7F" w:themeColor="text1" w:themeTint="80"/>
      <w:sz w:val="16"/>
    </w:rPr>
  </w:style>
  <w:style w:type="paragraph" w:styleId="Footer">
    <w:name w:val="footer"/>
    <w:basedOn w:val="Header"/>
    <w:link w:val="FooterChar"/>
    <w:uiPriority w:val="99"/>
    <w:semiHidden/>
    <w:rsid w:val="0074030F"/>
  </w:style>
  <w:style w:type="character" w:customStyle="1" w:styleId="FooterChar">
    <w:name w:val="Footer Char"/>
    <w:basedOn w:val="DefaultParagraphFont"/>
    <w:link w:val="Footer"/>
    <w:uiPriority w:val="99"/>
    <w:semiHidden/>
    <w:rsid w:val="001D78E5"/>
    <w:rPr>
      <w:color w:val="7F7F7F" w:themeColor="text1" w:themeTint="80"/>
      <w:sz w:val="16"/>
    </w:rPr>
  </w:style>
  <w:style w:type="paragraph" w:styleId="BodyText3">
    <w:name w:val="Body Text 3"/>
    <w:basedOn w:val="BodyText"/>
    <w:link w:val="BodyText3Char"/>
    <w:uiPriority w:val="99"/>
    <w:semiHidden/>
    <w:rsid w:val="006C7FF8"/>
    <w:rPr>
      <w:sz w:val="16"/>
    </w:rPr>
  </w:style>
  <w:style w:type="character" w:customStyle="1" w:styleId="BodyText3Char">
    <w:name w:val="Body Text 3 Char"/>
    <w:basedOn w:val="DefaultParagraphFont"/>
    <w:link w:val="BodyText3"/>
    <w:uiPriority w:val="99"/>
    <w:semiHidden/>
    <w:rsid w:val="001D78E5"/>
    <w:rPr>
      <w:sz w:val="16"/>
    </w:rPr>
  </w:style>
  <w:style w:type="paragraph" w:styleId="BodyText">
    <w:name w:val="Body Text"/>
    <w:basedOn w:val="Normal"/>
    <w:link w:val="BodyTextChar"/>
    <w:uiPriority w:val="99"/>
    <w:semiHidden/>
    <w:rsid w:val="0074030F"/>
  </w:style>
  <w:style w:type="character" w:customStyle="1" w:styleId="BodyTextChar">
    <w:name w:val="Body Text Char"/>
    <w:basedOn w:val="DefaultParagraphFont"/>
    <w:link w:val="BodyText"/>
    <w:uiPriority w:val="99"/>
    <w:semiHidden/>
    <w:rsid w:val="001D78E5"/>
    <w:rPr>
      <w:sz w:val="20"/>
    </w:rPr>
  </w:style>
  <w:style w:type="paragraph" w:styleId="BodyText2">
    <w:name w:val="Body Text 2"/>
    <w:basedOn w:val="BodyText"/>
    <w:link w:val="BodyText2Char"/>
    <w:uiPriority w:val="99"/>
    <w:semiHidden/>
    <w:rsid w:val="006C7FF8"/>
    <w:pPr>
      <w:spacing w:line="360" w:lineRule="auto"/>
    </w:pPr>
  </w:style>
  <w:style w:type="character" w:customStyle="1" w:styleId="BodyText2Char">
    <w:name w:val="Body Text 2 Char"/>
    <w:basedOn w:val="DefaultParagraphFont"/>
    <w:link w:val="BodyText2"/>
    <w:uiPriority w:val="99"/>
    <w:semiHidden/>
    <w:rsid w:val="001D78E5"/>
    <w:rPr>
      <w:sz w:val="20"/>
    </w:rPr>
  </w:style>
  <w:style w:type="paragraph" w:styleId="BodyTextFirstIndent">
    <w:name w:val="Body Text First Indent"/>
    <w:basedOn w:val="BodyText"/>
    <w:link w:val="BodyTextFirstIndentChar"/>
    <w:uiPriority w:val="99"/>
    <w:semiHidden/>
    <w:rsid w:val="008C0686"/>
    <w:pPr>
      <w:ind w:firstLine="567"/>
    </w:pPr>
  </w:style>
  <w:style w:type="character" w:customStyle="1" w:styleId="BodyTextFirstIndentChar">
    <w:name w:val="Body Text First Indent Char"/>
    <w:basedOn w:val="BodyTextChar"/>
    <w:link w:val="BodyTextFirstIndent"/>
    <w:uiPriority w:val="99"/>
    <w:semiHidden/>
    <w:rsid w:val="001D78E5"/>
    <w:rPr>
      <w:sz w:val="20"/>
    </w:rPr>
  </w:style>
  <w:style w:type="paragraph" w:styleId="BodyTextIndent">
    <w:name w:val="Body Text Indent"/>
    <w:basedOn w:val="BodyText"/>
    <w:link w:val="BodyTextIndentChar"/>
    <w:uiPriority w:val="99"/>
    <w:semiHidden/>
    <w:rsid w:val="00227F89"/>
    <w:pPr>
      <w:ind w:left="567"/>
    </w:pPr>
  </w:style>
  <w:style w:type="character" w:customStyle="1" w:styleId="BodyTextIndentChar">
    <w:name w:val="Body Text Indent Char"/>
    <w:basedOn w:val="DefaultParagraphFont"/>
    <w:link w:val="BodyTextIndent"/>
    <w:uiPriority w:val="99"/>
    <w:semiHidden/>
    <w:rsid w:val="001D78E5"/>
    <w:rPr>
      <w:sz w:val="20"/>
    </w:rPr>
  </w:style>
  <w:style w:type="paragraph" w:styleId="BodyTextFirstIndent2">
    <w:name w:val="Body Text First Indent 2"/>
    <w:basedOn w:val="BodyText3"/>
    <w:link w:val="BodyTextFirstIndent2Char"/>
    <w:uiPriority w:val="99"/>
    <w:semiHidden/>
    <w:rsid w:val="008C0686"/>
    <w:pPr>
      <w:ind w:firstLine="284"/>
    </w:pPr>
  </w:style>
  <w:style w:type="character" w:customStyle="1" w:styleId="BodyTextFirstIndent2Char">
    <w:name w:val="Body Text First Indent 2 Char"/>
    <w:basedOn w:val="BodyTextIndentChar"/>
    <w:link w:val="BodyTextFirstIndent2"/>
    <w:uiPriority w:val="99"/>
    <w:semiHidden/>
    <w:rsid w:val="001D78E5"/>
    <w:rPr>
      <w:sz w:val="16"/>
    </w:rPr>
  </w:style>
  <w:style w:type="paragraph" w:styleId="BodyTextIndent2">
    <w:name w:val="Body Text Indent 2"/>
    <w:basedOn w:val="BodyText2"/>
    <w:link w:val="BodyTextIndent2Char"/>
    <w:uiPriority w:val="99"/>
    <w:semiHidden/>
    <w:rsid w:val="006C7FF8"/>
    <w:pPr>
      <w:ind w:left="567"/>
    </w:pPr>
  </w:style>
  <w:style w:type="character" w:customStyle="1" w:styleId="BodyTextIndent2Char">
    <w:name w:val="Body Text Indent 2 Char"/>
    <w:basedOn w:val="DefaultParagraphFont"/>
    <w:link w:val="BodyTextIndent2"/>
    <w:uiPriority w:val="99"/>
    <w:semiHidden/>
    <w:rsid w:val="001D78E5"/>
    <w:rPr>
      <w:sz w:val="20"/>
    </w:rPr>
  </w:style>
  <w:style w:type="paragraph" w:styleId="BodyTextIndent3">
    <w:name w:val="Body Text Indent 3"/>
    <w:basedOn w:val="BodyText3"/>
    <w:link w:val="BodyTextIndent3Char"/>
    <w:uiPriority w:val="99"/>
    <w:semiHidden/>
    <w:rsid w:val="008C0686"/>
    <w:pPr>
      <w:ind w:left="284"/>
    </w:pPr>
  </w:style>
  <w:style w:type="character" w:customStyle="1" w:styleId="BodyTextIndent3Char">
    <w:name w:val="Body Text Indent 3 Char"/>
    <w:basedOn w:val="DefaultParagraphFont"/>
    <w:link w:val="BodyTextIndent3"/>
    <w:uiPriority w:val="99"/>
    <w:semiHidden/>
    <w:rsid w:val="001D78E5"/>
    <w:rPr>
      <w:sz w:val="16"/>
    </w:rPr>
  </w:style>
  <w:style w:type="character" w:styleId="CommentReference">
    <w:name w:val="annotation reference"/>
    <w:basedOn w:val="CommentSubjectChar"/>
    <w:uiPriority w:val="99"/>
    <w:semiHidden/>
    <w:rsid w:val="006C7FF8"/>
    <w:rPr>
      <w:b/>
      <w:noProof/>
      <w:sz w:val="16"/>
    </w:rPr>
  </w:style>
  <w:style w:type="paragraph" w:styleId="CommentText">
    <w:name w:val="annotation text"/>
    <w:basedOn w:val="BodyText3"/>
    <w:link w:val="CommentTextChar"/>
    <w:uiPriority w:val="99"/>
    <w:semiHidden/>
    <w:rsid w:val="00DD49DD"/>
    <w:rPr>
      <w:noProof/>
    </w:rPr>
  </w:style>
  <w:style w:type="character" w:customStyle="1" w:styleId="CommentTextChar">
    <w:name w:val="Comment Text Char"/>
    <w:basedOn w:val="DefaultParagraphFont"/>
    <w:link w:val="CommentText"/>
    <w:uiPriority w:val="99"/>
    <w:semiHidden/>
    <w:rsid w:val="001D78E5"/>
    <w:rPr>
      <w:noProof/>
      <w:sz w:val="16"/>
    </w:rPr>
  </w:style>
  <w:style w:type="paragraph" w:styleId="CommentSubject">
    <w:name w:val="annotation subject"/>
    <w:basedOn w:val="CommentText"/>
    <w:next w:val="CommentText"/>
    <w:link w:val="CommentSubjectChar"/>
    <w:uiPriority w:val="99"/>
    <w:semiHidden/>
    <w:rsid w:val="000E1194"/>
    <w:rPr>
      <w:b/>
    </w:rPr>
  </w:style>
  <w:style w:type="character" w:customStyle="1" w:styleId="CommentSubjectChar">
    <w:name w:val="Comment Subject Char"/>
    <w:basedOn w:val="CommentTextChar"/>
    <w:link w:val="CommentSubject"/>
    <w:uiPriority w:val="99"/>
    <w:semiHidden/>
    <w:rsid w:val="001D78E5"/>
    <w:rPr>
      <w:b/>
      <w:noProof/>
      <w:sz w:val="16"/>
    </w:rPr>
  </w:style>
  <w:style w:type="paragraph" w:styleId="BalloonText">
    <w:name w:val="Balloon Text"/>
    <w:basedOn w:val="CommentText"/>
    <w:link w:val="BalloonTextChar"/>
    <w:uiPriority w:val="99"/>
    <w:semiHidden/>
    <w:rsid w:val="000E1194"/>
  </w:style>
  <w:style w:type="character" w:customStyle="1" w:styleId="BalloonTextChar">
    <w:name w:val="Balloon Text Char"/>
    <w:basedOn w:val="DefaultParagraphFont"/>
    <w:link w:val="BalloonText"/>
    <w:uiPriority w:val="99"/>
    <w:semiHidden/>
    <w:rsid w:val="001D78E5"/>
    <w:rPr>
      <w:noProof/>
      <w:sz w:val="16"/>
    </w:rPr>
  </w:style>
  <w:style w:type="paragraph" w:styleId="DocumentMap">
    <w:name w:val="Document Map"/>
    <w:basedOn w:val="BodyText3"/>
    <w:link w:val="DocumentMapChar"/>
    <w:uiPriority w:val="99"/>
    <w:semiHidden/>
    <w:rsid w:val="000E1194"/>
  </w:style>
  <w:style w:type="character" w:customStyle="1" w:styleId="DocumentMapChar">
    <w:name w:val="Document Map Char"/>
    <w:basedOn w:val="DefaultParagraphFont"/>
    <w:link w:val="DocumentMap"/>
    <w:uiPriority w:val="99"/>
    <w:semiHidden/>
    <w:rsid w:val="001D78E5"/>
    <w:rPr>
      <w:sz w:val="16"/>
    </w:rPr>
  </w:style>
  <w:style w:type="paragraph" w:styleId="Closing">
    <w:name w:val="Closing"/>
    <w:basedOn w:val="Normal"/>
    <w:link w:val="ClosingChar"/>
    <w:uiPriority w:val="99"/>
    <w:semiHidden/>
    <w:rsid w:val="000E1194"/>
  </w:style>
  <w:style w:type="character" w:customStyle="1" w:styleId="ClosingChar">
    <w:name w:val="Closing Char"/>
    <w:basedOn w:val="DefaultParagraphFont"/>
    <w:link w:val="Closing"/>
    <w:uiPriority w:val="99"/>
    <w:semiHidden/>
    <w:rsid w:val="001D78E5"/>
    <w:rPr>
      <w:sz w:val="20"/>
    </w:rPr>
  </w:style>
  <w:style w:type="paragraph" w:styleId="EmailSignature">
    <w:name w:val="E-mail Signature"/>
    <w:basedOn w:val="Signature"/>
    <w:link w:val="EmailSignatureChar"/>
    <w:uiPriority w:val="99"/>
    <w:semiHidden/>
    <w:rsid w:val="00BB1312"/>
  </w:style>
  <w:style w:type="character" w:customStyle="1" w:styleId="EmailSignatureChar">
    <w:name w:val="Email Signature Char"/>
    <w:basedOn w:val="DefaultParagraphFont"/>
    <w:link w:val="EmailSignature"/>
    <w:uiPriority w:val="99"/>
    <w:semiHidden/>
    <w:rsid w:val="001D78E5"/>
    <w:rPr>
      <w:sz w:val="20"/>
    </w:rPr>
  </w:style>
  <w:style w:type="paragraph" w:styleId="EndnoteText">
    <w:name w:val="endnote text"/>
    <w:basedOn w:val="FootnoteText"/>
    <w:link w:val="EndnoteTextChar"/>
    <w:uiPriority w:val="99"/>
    <w:semiHidden/>
    <w:rsid w:val="000E1194"/>
  </w:style>
  <w:style w:type="character" w:customStyle="1" w:styleId="EndnoteTextChar">
    <w:name w:val="Endnote Text Char"/>
    <w:basedOn w:val="DefaultParagraphFont"/>
    <w:link w:val="EndnoteText"/>
    <w:uiPriority w:val="99"/>
    <w:semiHidden/>
    <w:rsid w:val="001D78E5"/>
    <w:rPr>
      <w:sz w:val="16"/>
    </w:rPr>
  </w:style>
  <w:style w:type="character" w:styleId="EndnoteReference">
    <w:name w:val="endnote reference"/>
    <w:basedOn w:val="FootnoteReference"/>
    <w:uiPriority w:val="99"/>
    <w:semiHidden/>
    <w:rsid w:val="008C0686"/>
    <w:rPr>
      <w:color w:val="AD003D" w:themeColor="accent1"/>
      <w:sz w:val="20"/>
      <w:vertAlign w:val="superscript"/>
    </w:rPr>
  </w:style>
  <w:style w:type="paragraph" w:styleId="Signature">
    <w:name w:val="Signature"/>
    <w:basedOn w:val="NoSpacing"/>
    <w:link w:val="SignatureChar"/>
    <w:uiPriority w:val="99"/>
    <w:semiHidden/>
    <w:rsid w:val="000A6849"/>
  </w:style>
  <w:style w:type="character" w:customStyle="1" w:styleId="SignatureChar">
    <w:name w:val="Signature Char"/>
    <w:basedOn w:val="DefaultParagraphFont"/>
    <w:link w:val="Signature"/>
    <w:uiPriority w:val="99"/>
    <w:semiHidden/>
    <w:rsid w:val="001D78E5"/>
    <w:rPr>
      <w:sz w:val="20"/>
    </w:rPr>
  </w:style>
  <w:style w:type="paragraph" w:styleId="Salutation">
    <w:name w:val="Salutation"/>
    <w:basedOn w:val="Normal"/>
    <w:next w:val="Normal"/>
    <w:link w:val="SalutationChar"/>
    <w:uiPriority w:val="99"/>
    <w:semiHidden/>
    <w:rsid w:val="000E1194"/>
  </w:style>
  <w:style w:type="character" w:customStyle="1" w:styleId="SalutationChar">
    <w:name w:val="Salutation Char"/>
    <w:basedOn w:val="DefaultParagraphFont"/>
    <w:link w:val="Salutation"/>
    <w:uiPriority w:val="99"/>
    <w:semiHidden/>
    <w:rsid w:val="001D78E5"/>
    <w:rPr>
      <w:sz w:val="20"/>
    </w:rPr>
  </w:style>
  <w:style w:type="character" w:styleId="BookTitle">
    <w:name w:val="Book Title"/>
    <w:uiPriority w:val="33"/>
    <w:unhideWhenUsed/>
    <w:rsid w:val="00227F89"/>
    <w:rPr>
      <w:i/>
    </w:rPr>
  </w:style>
  <w:style w:type="character" w:styleId="IntenseReference">
    <w:name w:val="Intense Reference"/>
    <w:basedOn w:val="SubtleReference"/>
    <w:uiPriority w:val="32"/>
    <w:semiHidden/>
    <w:rsid w:val="005424C3"/>
    <w:rPr>
      <w:i/>
      <w:color w:val="AD003D" w:themeColor="accent1"/>
    </w:rPr>
  </w:style>
  <w:style w:type="character" w:styleId="SubtleReference">
    <w:name w:val="Subtle Reference"/>
    <w:basedOn w:val="BookTitle"/>
    <w:uiPriority w:val="31"/>
    <w:semiHidden/>
    <w:rsid w:val="005424C3"/>
    <w:rPr>
      <w:i/>
      <w:color w:val="7F7F7F" w:themeColor="text1" w:themeTint="80"/>
    </w:rPr>
  </w:style>
  <w:style w:type="paragraph" w:styleId="Index1">
    <w:name w:val="index 1"/>
    <w:basedOn w:val="TOC1"/>
    <w:next w:val="Normal"/>
    <w:autoRedefine/>
    <w:uiPriority w:val="99"/>
    <w:semiHidden/>
    <w:rsid w:val="00BB1312"/>
    <w:pPr>
      <w:tabs>
        <w:tab w:val="clear" w:pos="9639"/>
        <w:tab w:val="right" w:leader="dot" w:pos="9628"/>
      </w:tabs>
    </w:pPr>
  </w:style>
  <w:style w:type="paragraph" w:styleId="IndexHeading">
    <w:name w:val="index heading"/>
    <w:basedOn w:val="Heading1BodyText"/>
    <w:next w:val="Index1"/>
    <w:uiPriority w:val="99"/>
    <w:semiHidden/>
    <w:rsid w:val="005424C3"/>
  </w:style>
  <w:style w:type="paragraph" w:styleId="EnvelopeAddress">
    <w:name w:val="envelope address"/>
    <w:basedOn w:val="Normal"/>
    <w:uiPriority w:val="99"/>
    <w:semiHidden/>
    <w:rsid w:val="00BB1312"/>
    <w:pPr>
      <w:framePr w:hSpace="567" w:wrap="notBeside" w:vAnchor="text" w:hAnchor="text" w:xAlign="right" w:y="1" w:anchorLock="1"/>
      <w:contextualSpacing/>
    </w:pPr>
  </w:style>
  <w:style w:type="paragraph" w:styleId="EnvelopeReturn">
    <w:name w:val="envelope return"/>
    <w:basedOn w:val="EnvelopeAddress"/>
    <w:uiPriority w:val="99"/>
    <w:semiHidden/>
    <w:rsid w:val="006C7FF8"/>
    <w:pPr>
      <w:framePr w:wrap="notBeside"/>
    </w:pPr>
  </w:style>
  <w:style w:type="character" w:styleId="HTMLAcronym">
    <w:name w:val="HTML Acronym"/>
    <w:basedOn w:val="BookTitle"/>
    <w:uiPriority w:val="99"/>
    <w:semiHidden/>
    <w:rsid w:val="008C0686"/>
    <w:rPr>
      <w:i/>
    </w:rPr>
  </w:style>
  <w:style w:type="paragraph" w:styleId="HTMLAddress">
    <w:name w:val="HTML Address"/>
    <w:basedOn w:val="Normal"/>
    <w:link w:val="HTMLAddressChar"/>
    <w:uiPriority w:val="99"/>
    <w:semiHidden/>
    <w:rsid w:val="00BB1312"/>
    <w:rPr>
      <w:rFonts w:ascii="Arial Narrow" w:hAnsi="Arial Narrow"/>
      <w:color w:val="5E3482" w:themeColor="accent2"/>
    </w:rPr>
  </w:style>
  <w:style w:type="character" w:customStyle="1" w:styleId="HTMLAddressChar">
    <w:name w:val="HTML Address Char"/>
    <w:basedOn w:val="DefaultParagraphFont"/>
    <w:link w:val="HTMLAddress"/>
    <w:uiPriority w:val="99"/>
    <w:semiHidden/>
    <w:rsid w:val="001D78E5"/>
    <w:rPr>
      <w:rFonts w:ascii="Arial Narrow" w:hAnsi="Arial Narrow"/>
      <w:color w:val="5E3482" w:themeColor="accent2"/>
      <w:sz w:val="20"/>
    </w:rPr>
  </w:style>
  <w:style w:type="character" w:styleId="HTMLCite">
    <w:name w:val="HTML Cite"/>
    <w:basedOn w:val="BookTitle"/>
    <w:uiPriority w:val="99"/>
    <w:semiHidden/>
    <w:rsid w:val="008C0686"/>
    <w:rPr>
      <w:i/>
    </w:rPr>
  </w:style>
  <w:style w:type="paragraph" w:styleId="PlainText">
    <w:name w:val="Plain Text"/>
    <w:basedOn w:val="Normal"/>
    <w:link w:val="PlainTextChar"/>
    <w:uiPriority w:val="99"/>
    <w:semiHidden/>
    <w:rsid w:val="00C96A49"/>
    <w:rPr>
      <w:rFonts w:ascii="Source Code Pro" w:hAnsi="Source Code Pro"/>
      <w:lang w:eastAsia="en-GB"/>
    </w:rPr>
  </w:style>
  <w:style w:type="character" w:customStyle="1" w:styleId="PlainTextChar">
    <w:name w:val="Plain Text Char"/>
    <w:basedOn w:val="DefaultParagraphFont"/>
    <w:link w:val="PlainText"/>
    <w:uiPriority w:val="99"/>
    <w:semiHidden/>
    <w:rsid w:val="00C96A49"/>
    <w:rPr>
      <w:rFonts w:ascii="Source Code Pro" w:hAnsi="Source Code Pro"/>
      <w:kern w:val="20"/>
      <w:sz w:val="20"/>
      <w:lang w:eastAsia="en-GB"/>
      <w14:ligatures w14:val="standardContextual"/>
      <w14:numForm w14:val="lining"/>
      <w14:numSpacing w14:val="tabular"/>
      <w14:cntxtAlts/>
    </w:rPr>
  </w:style>
  <w:style w:type="paragraph" w:styleId="MacroText">
    <w:name w:val="macro"/>
    <w:basedOn w:val="PlainText"/>
    <w:link w:val="MacroTextChar"/>
    <w:uiPriority w:val="99"/>
    <w:semiHidden/>
    <w:rsid w:val="008C0686"/>
  </w:style>
  <w:style w:type="character" w:customStyle="1" w:styleId="MacroTextChar">
    <w:name w:val="Macro Text Char"/>
    <w:basedOn w:val="DefaultParagraphFont"/>
    <w:link w:val="MacroText"/>
    <w:uiPriority w:val="99"/>
    <w:semiHidden/>
    <w:rsid w:val="001D78E5"/>
    <w:rPr>
      <w:rFonts w:ascii="Consolas" w:hAnsi="Consolas"/>
      <w:sz w:val="20"/>
      <w:lang w:eastAsia="en-GB"/>
    </w:rPr>
  </w:style>
  <w:style w:type="character" w:styleId="HTMLCode">
    <w:name w:val="HTML Code"/>
    <w:basedOn w:val="PlainTextChar"/>
    <w:uiPriority w:val="99"/>
    <w:semiHidden/>
    <w:rsid w:val="00C96A49"/>
    <w:rPr>
      <w:rFonts w:ascii="Source Code Pro" w:hAnsi="Source Code Pro"/>
      <w:noProof/>
      <w:kern w:val="20"/>
      <w:sz w:val="20"/>
      <w:lang w:val="en-GB" w:eastAsia="en-GB"/>
      <w14:ligatures w14:val="standardContextual"/>
      <w14:numForm w14:val="lining"/>
      <w14:numSpacing w14:val="tabular"/>
      <w14:cntxtAlts/>
    </w:rPr>
  </w:style>
  <w:style w:type="character" w:styleId="HTMLSample">
    <w:name w:val="HTML Sample"/>
    <w:basedOn w:val="HTMLCode"/>
    <w:uiPriority w:val="99"/>
    <w:semiHidden/>
    <w:rsid w:val="00C96A49"/>
    <w:rPr>
      <w:rFonts w:ascii="Source Code Pro" w:hAnsi="Source Code Pro"/>
      <w:noProof/>
      <w:kern w:val="20"/>
      <w:sz w:val="20"/>
      <w:lang w:val="en-GB" w:eastAsia="en-GB"/>
      <w14:ligatures w14:val="standardContextual"/>
      <w14:numForm w14:val="lining"/>
      <w14:numSpacing w14:val="tabular"/>
      <w14:cntxtAlts/>
    </w:rPr>
  </w:style>
  <w:style w:type="character" w:styleId="HTMLTypewriter">
    <w:name w:val="HTML Typewriter"/>
    <w:basedOn w:val="HTMLKeyboard"/>
    <w:uiPriority w:val="99"/>
    <w:semiHidden/>
    <w:rsid w:val="00C96A49"/>
    <w:rPr>
      <w:rFonts w:ascii="Source Code Pro" w:hAnsi="Source Code Pro"/>
      <w:noProof/>
      <w:kern w:val="20"/>
      <w:sz w:val="20"/>
      <w:lang w:val="en-GB" w:eastAsia="en-GB"/>
      <w14:ligatures w14:val="standardContextual"/>
      <w14:numForm w14:val="lining"/>
      <w14:numSpacing w14:val="tabular"/>
      <w14:cntxtAlts/>
    </w:rPr>
  </w:style>
  <w:style w:type="character" w:styleId="HTMLKeyboard">
    <w:name w:val="HTML Keyboard"/>
    <w:basedOn w:val="HTMLCode"/>
    <w:uiPriority w:val="99"/>
    <w:semiHidden/>
    <w:rsid w:val="00C96A49"/>
    <w:rPr>
      <w:rFonts w:ascii="Source Code Pro" w:hAnsi="Source Code Pro"/>
      <w:noProof/>
      <w:kern w:val="20"/>
      <w:sz w:val="20"/>
      <w:lang w:val="en-GB" w:eastAsia="en-GB"/>
      <w14:ligatures w14:val="standardContextual"/>
      <w14:numForm w14:val="lining"/>
      <w14:numSpacing w14:val="tabular"/>
      <w14:cntxtAlts/>
    </w:rPr>
  </w:style>
  <w:style w:type="paragraph" w:styleId="HTMLPreformatted">
    <w:name w:val="HTML Preformatted"/>
    <w:basedOn w:val="PlainText"/>
    <w:link w:val="HTMLPreformattedChar"/>
    <w:uiPriority w:val="99"/>
    <w:semiHidden/>
    <w:rsid w:val="006C7FF8"/>
  </w:style>
  <w:style w:type="character" w:customStyle="1" w:styleId="HTMLPreformattedChar">
    <w:name w:val="HTML Preformatted Char"/>
    <w:basedOn w:val="DefaultParagraphFont"/>
    <w:link w:val="HTMLPreformatted"/>
    <w:uiPriority w:val="99"/>
    <w:semiHidden/>
    <w:rsid w:val="001D78E5"/>
    <w:rPr>
      <w:rFonts w:ascii="Consolas" w:hAnsi="Consolas"/>
      <w:sz w:val="20"/>
      <w:lang w:eastAsia="en-GB"/>
    </w:rPr>
  </w:style>
  <w:style w:type="character" w:styleId="HTMLVariable">
    <w:name w:val="HTML Variable"/>
    <w:basedOn w:val="HTMLCode"/>
    <w:uiPriority w:val="99"/>
    <w:semiHidden/>
    <w:rsid w:val="00C96A49"/>
    <w:rPr>
      <w:rFonts w:ascii="Source Code Pro" w:hAnsi="Source Code Pro"/>
      <w:noProof/>
      <w:color w:val="AD003D" w:themeColor="accent1"/>
      <w:kern w:val="20"/>
      <w:sz w:val="20"/>
      <w:lang w:val="en-GB" w:eastAsia="en-GB"/>
      <w14:ligatures w14:val="standardContextual"/>
      <w14:numForm w14:val="lining"/>
      <w14:numSpacing w14:val="tabular"/>
      <w14:cntxtAlts/>
    </w:rPr>
  </w:style>
  <w:style w:type="paragraph" w:styleId="NormalIndent">
    <w:name w:val="Normal Indent"/>
    <w:basedOn w:val="BodyTextIndent"/>
    <w:uiPriority w:val="99"/>
    <w:semiHidden/>
    <w:rsid w:val="006C7FF8"/>
  </w:style>
  <w:style w:type="paragraph" w:styleId="Date">
    <w:name w:val="Date"/>
    <w:basedOn w:val="Normal"/>
    <w:next w:val="Normal"/>
    <w:link w:val="DateChar"/>
    <w:uiPriority w:val="99"/>
    <w:semiHidden/>
    <w:rsid w:val="006C7FF8"/>
  </w:style>
  <w:style w:type="character" w:customStyle="1" w:styleId="DateChar">
    <w:name w:val="Date Char"/>
    <w:basedOn w:val="DefaultParagraphFont"/>
    <w:link w:val="Date"/>
    <w:uiPriority w:val="99"/>
    <w:semiHidden/>
    <w:rsid w:val="001D78E5"/>
    <w:rPr>
      <w:sz w:val="20"/>
    </w:rPr>
  </w:style>
  <w:style w:type="character" w:styleId="FollowedHyperlink">
    <w:name w:val="FollowedHyperlink"/>
    <w:basedOn w:val="DefaultParagraphFont"/>
    <w:uiPriority w:val="99"/>
    <w:semiHidden/>
    <w:rsid w:val="00BB1312"/>
    <w:rPr>
      <w:color w:val="0D5A4A" w:themeColor="followedHyperlink"/>
      <w:u w:val="none"/>
    </w:rPr>
  </w:style>
  <w:style w:type="paragraph" w:styleId="Index2">
    <w:name w:val="index 2"/>
    <w:basedOn w:val="TOC2"/>
    <w:next w:val="Normal"/>
    <w:autoRedefine/>
    <w:uiPriority w:val="99"/>
    <w:semiHidden/>
    <w:rsid w:val="00BB1312"/>
    <w:pPr>
      <w:tabs>
        <w:tab w:val="clear" w:pos="9639"/>
        <w:tab w:val="right" w:leader="dot" w:pos="9628"/>
      </w:tabs>
    </w:pPr>
  </w:style>
  <w:style w:type="paragraph" w:styleId="Index3">
    <w:name w:val="index 3"/>
    <w:basedOn w:val="TOC3"/>
    <w:next w:val="Normal"/>
    <w:autoRedefine/>
    <w:uiPriority w:val="99"/>
    <w:semiHidden/>
    <w:rsid w:val="00BB1312"/>
    <w:pPr>
      <w:tabs>
        <w:tab w:val="clear" w:pos="9639"/>
        <w:tab w:val="right" w:leader="dot" w:pos="9628"/>
      </w:tabs>
    </w:pPr>
  </w:style>
  <w:style w:type="paragraph" w:styleId="Index4">
    <w:name w:val="index 4"/>
    <w:basedOn w:val="TOC4"/>
    <w:next w:val="Normal"/>
    <w:autoRedefine/>
    <w:uiPriority w:val="99"/>
    <w:semiHidden/>
    <w:rsid w:val="00BB1312"/>
    <w:pPr>
      <w:tabs>
        <w:tab w:val="clear" w:pos="9639"/>
        <w:tab w:val="right" w:leader="dot" w:pos="9628"/>
      </w:tabs>
    </w:pPr>
  </w:style>
  <w:style w:type="paragraph" w:styleId="Index5">
    <w:name w:val="index 5"/>
    <w:basedOn w:val="TOC5"/>
    <w:next w:val="Normal"/>
    <w:autoRedefine/>
    <w:uiPriority w:val="99"/>
    <w:semiHidden/>
    <w:rsid w:val="00BB1312"/>
    <w:pPr>
      <w:tabs>
        <w:tab w:val="clear" w:pos="9639"/>
        <w:tab w:val="right" w:leader="dot" w:pos="9628"/>
      </w:tabs>
    </w:pPr>
  </w:style>
  <w:style w:type="paragraph" w:styleId="Index6">
    <w:name w:val="index 6"/>
    <w:basedOn w:val="TOC6"/>
    <w:next w:val="Normal"/>
    <w:autoRedefine/>
    <w:uiPriority w:val="99"/>
    <w:semiHidden/>
    <w:rsid w:val="00BB1312"/>
    <w:pPr>
      <w:tabs>
        <w:tab w:val="clear" w:pos="9639"/>
        <w:tab w:val="right" w:leader="dot" w:pos="9628"/>
      </w:tabs>
    </w:pPr>
  </w:style>
  <w:style w:type="paragraph" w:styleId="Index7">
    <w:name w:val="index 7"/>
    <w:basedOn w:val="TOC7"/>
    <w:next w:val="Normal"/>
    <w:autoRedefine/>
    <w:uiPriority w:val="99"/>
    <w:semiHidden/>
    <w:rsid w:val="00BB1312"/>
    <w:pPr>
      <w:tabs>
        <w:tab w:val="clear" w:pos="9639"/>
        <w:tab w:val="right" w:leader="dot" w:pos="9628"/>
      </w:tabs>
    </w:pPr>
  </w:style>
  <w:style w:type="paragraph" w:styleId="Index8">
    <w:name w:val="index 8"/>
    <w:basedOn w:val="TOC8"/>
    <w:next w:val="Normal"/>
    <w:autoRedefine/>
    <w:uiPriority w:val="99"/>
    <w:semiHidden/>
    <w:rsid w:val="00BB1312"/>
    <w:pPr>
      <w:tabs>
        <w:tab w:val="clear" w:pos="9639"/>
        <w:tab w:val="right" w:leader="dot" w:pos="9628"/>
      </w:tabs>
    </w:pPr>
  </w:style>
  <w:style w:type="paragraph" w:styleId="Index9">
    <w:name w:val="index 9"/>
    <w:basedOn w:val="TOC9"/>
    <w:next w:val="Normal"/>
    <w:autoRedefine/>
    <w:uiPriority w:val="99"/>
    <w:semiHidden/>
    <w:rsid w:val="00BB1312"/>
    <w:pPr>
      <w:tabs>
        <w:tab w:val="clear" w:pos="9639"/>
        <w:tab w:val="right" w:leader="dot" w:pos="9628"/>
      </w:tabs>
    </w:pPr>
  </w:style>
  <w:style w:type="character" w:styleId="LineNumber">
    <w:name w:val="line number"/>
    <w:basedOn w:val="PageNumber"/>
    <w:uiPriority w:val="99"/>
    <w:semiHidden/>
    <w:rsid w:val="00BB1312"/>
    <w:rPr>
      <w:color w:val="auto"/>
      <w:sz w:val="16"/>
    </w:rPr>
  </w:style>
  <w:style w:type="character" w:styleId="Emphasis">
    <w:name w:val="Emphasis"/>
    <w:basedOn w:val="DefaultParagraphFont"/>
    <w:uiPriority w:val="20"/>
    <w:rsid w:val="00BB1312"/>
    <w:rPr>
      <w:i/>
      <w:iCs/>
    </w:rPr>
  </w:style>
  <w:style w:type="character" w:styleId="PageNumber">
    <w:name w:val="page number"/>
    <w:basedOn w:val="FooterChar"/>
    <w:uiPriority w:val="99"/>
    <w:semiHidden/>
    <w:rsid w:val="00CE4209"/>
    <w:rPr>
      <w:color w:val="auto"/>
      <w:sz w:val="16"/>
    </w:rPr>
  </w:style>
  <w:style w:type="paragraph" w:styleId="List">
    <w:name w:val="List"/>
    <w:basedOn w:val="ListParagraph"/>
    <w:uiPriority w:val="99"/>
    <w:semiHidden/>
    <w:rsid w:val="00BB1312"/>
  </w:style>
  <w:style w:type="paragraph" w:styleId="List2">
    <w:name w:val="List 2"/>
    <w:basedOn w:val="List"/>
    <w:uiPriority w:val="99"/>
    <w:semiHidden/>
    <w:rsid w:val="00CC7BFE"/>
    <w:pPr>
      <w:ind w:left="1134"/>
    </w:pPr>
  </w:style>
  <w:style w:type="paragraph" w:styleId="List3">
    <w:name w:val="List 3"/>
    <w:basedOn w:val="List"/>
    <w:uiPriority w:val="99"/>
    <w:semiHidden/>
    <w:rsid w:val="00CC7BFE"/>
    <w:pPr>
      <w:ind w:left="1701"/>
    </w:pPr>
  </w:style>
  <w:style w:type="paragraph" w:styleId="List4">
    <w:name w:val="List 4"/>
    <w:basedOn w:val="List"/>
    <w:uiPriority w:val="99"/>
    <w:semiHidden/>
    <w:rsid w:val="00CC7BFE"/>
    <w:pPr>
      <w:ind w:left="2268"/>
    </w:pPr>
  </w:style>
  <w:style w:type="paragraph" w:styleId="List5">
    <w:name w:val="List 5"/>
    <w:basedOn w:val="List"/>
    <w:uiPriority w:val="99"/>
    <w:semiHidden/>
    <w:rsid w:val="00CC7BFE"/>
    <w:pPr>
      <w:ind w:left="2835"/>
    </w:pPr>
  </w:style>
  <w:style w:type="paragraph" w:styleId="ListBullet">
    <w:name w:val="List Bullet"/>
    <w:basedOn w:val="ListParagraph"/>
    <w:uiPriority w:val="99"/>
    <w:semiHidden/>
    <w:rsid w:val="00CC7BFE"/>
    <w:pPr>
      <w:numPr>
        <w:numId w:val="13"/>
      </w:numPr>
    </w:pPr>
  </w:style>
  <w:style w:type="paragraph" w:styleId="ListBullet2">
    <w:name w:val="List Bullet 2"/>
    <w:basedOn w:val="ListBullet"/>
    <w:uiPriority w:val="99"/>
    <w:semiHidden/>
    <w:rsid w:val="00CC7BFE"/>
    <w:pPr>
      <w:numPr>
        <w:ilvl w:val="1"/>
      </w:numPr>
    </w:pPr>
  </w:style>
  <w:style w:type="paragraph" w:styleId="ListBullet3">
    <w:name w:val="List Bullet 3"/>
    <w:basedOn w:val="ListBullet2"/>
    <w:uiPriority w:val="99"/>
    <w:semiHidden/>
    <w:rsid w:val="00CC7BFE"/>
    <w:pPr>
      <w:numPr>
        <w:ilvl w:val="2"/>
      </w:numPr>
    </w:pPr>
  </w:style>
  <w:style w:type="paragraph" w:styleId="ListBullet4">
    <w:name w:val="List Bullet 4"/>
    <w:basedOn w:val="ListBullet3"/>
    <w:uiPriority w:val="99"/>
    <w:semiHidden/>
    <w:rsid w:val="00CC7BFE"/>
    <w:pPr>
      <w:numPr>
        <w:ilvl w:val="3"/>
      </w:numPr>
    </w:pPr>
  </w:style>
  <w:style w:type="paragraph" w:styleId="ListBullet5">
    <w:name w:val="List Bullet 5"/>
    <w:basedOn w:val="ListBullet4"/>
    <w:uiPriority w:val="99"/>
    <w:semiHidden/>
    <w:rsid w:val="00CC7BFE"/>
    <w:pPr>
      <w:numPr>
        <w:ilvl w:val="4"/>
      </w:numPr>
    </w:pPr>
  </w:style>
  <w:style w:type="paragraph" w:styleId="ListContinue">
    <w:name w:val="List Continue"/>
    <w:basedOn w:val="List"/>
    <w:uiPriority w:val="99"/>
    <w:semiHidden/>
    <w:rsid w:val="00BB1312"/>
  </w:style>
  <w:style w:type="paragraph" w:styleId="ListContinue2">
    <w:name w:val="List Continue 2"/>
    <w:basedOn w:val="List2"/>
    <w:uiPriority w:val="99"/>
    <w:semiHidden/>
    <w:rsid w:val="00BB1312"/>
  </w:style>
  <w:style w:type="paragraph" w:styleId="ListContinue3">
    <w:name w:val="List Continue 3"/>
    <w:basedOn w:val="List3"/>
    <w:uiPriority w:val="99"/>
    <w:semiHidden/>
    <w:rsid w:val="00CC7BFE"/>
  </w:style>
  <w:style w:type="paragraph" w:styleId="ListContinue4">
    <w:name w:val="List Continue 4"/>
    <w:basedOn w:val="List4"/>
    <w:uiPriority w:val="99"/>
    <w:semiHidden/>
    <w:rsid w:val="00CC7BFE"/>
  </w:style>
  <w:style w:type="paragraph" w:styleId="ListContinue5">
    <w:name w:val="List Continue 5"/>
    <w:basedOn w:val="List5"/>
    <w:uiPriority w:val="99"/>
    <w:semiHidden/>
    <w:rsid w:val="00CC7BFE"/>
  </w:style>
  <w:style w:type="paragraph" w:styleId="ListNumber">
    <w:name w:val="List Number"/>
    <w:basedOn w:val="ListParagraph"/>
    <w:uiPriority w:val="99"/>
    <w:semiHidden/>
    <w:rsid w:val="00CC7BFE"/>
    <w:pPr>
      <w:numPr>
        <w:numId w:val="14"/>
      </w:numPr>
    </w:pPr>
  </w:style>
  <w:style w:type="paragraph" w:styleId="ListNumber2">
    <w:name w:val="List Number 2"/>
    <w:basedOn w:val="ListNumber"/>
    <w:uiPriority w:val="99"/>
    <w:semiHidden/>
    <w:rsid w:val="00CC7BFE"/>
    <w:pPr>
      <w:numPr>
        <w:ilvl w:val="1"/>
      </w:numPr>
    </w:pPr>
  </w:style>
  <w:style w:type="paragraph" w:styleId="ListNumber3">
    <w:name w:val="List Number 3"/>
    <w:basedOn w:val="ListNumber2"/>
    <w:uiPriority w:val="99"/>
    <w:semiHidden/>
    <w:rsid w:val="00CC7BFE"/>
    <w:pPr>
      <w:numPr>
        <w:ilvl w:val="2"/>
      </w:numPr>
    </w:pPr>
  </w:style>
  <w:style w:type="paragraph" w:styleId="ListNumber4">
    <w:name w:val="List Number 4"/>
    <w:basedOn w:val="ListNumber3"/>
    <w:uiPriority w:val="99"/>
    <w:semiHidden/>
    <w:rsid w:val="00CC7BFE"/>
    <w:pPr>
      <w:numPr>
        <w:ilvl w:val="3"/>
      </w:numPr>
    </w:pPr>
  </w:style>
  <w:style w:type="paragraph" w:styleId="ListNumber5">
    <w:name w:val="List Number 5"/>
    <w:basedOn w:val="ListNumber4"/>
    <w:uiPriority w:val="99"/>
    <w:semiHidden/>
    <w:rsid w:val="00CC7BFE"/>
    <w:pPr>
      <w:numPr>
        <w:ilvl w:val="4"/>
      </w:numPr>
    </w:pPr>
  </w:style>
  <w:style w:type="paragraph" w:styleId="MessageHeader">
    <w:name w:val="Message Header"/>
    <w:basedOn w:val="Heading1BodyText"/>
    <w:link w:val="MessageHeaderChar"/>
    <w:uiPriority w:val="99"/>
    <w:semiHidden/>
    <w:rsid w:val="005424C3"/>
  </w:style>
  <w:style w:type="character" w:customStyle="1" w:styleId="MessageHeaderChar">
    <w:name w:val="Message Header Char"/>
    <w:basedOn w:val="DefaultParagraphFont"/>
    <w:link w:val="MessageHeader"/>
    <w:uiPriority w:val="99"/>
    <w:semiHidden/>
    <w:rsid w:val="001D78E5"/>
    <w:rPr>
      <w:rFonts w:asciiTheme="majorHAnsi" w:hAnsiTheme="majorHAnsi"/>
      <w:color w:val="870034" w:themeColor="text2"/>
      <w:sz w:val="40"/>
    </w:rPr>
  </w:style>
  <w:style w:type="paragraph" w:styleId="NormalWeb">
    <w:name w:val="Normal (Web)"/>
    <w:basedOn w:val="Normal"/>
    <w:uiPriority w:val="99"/>
    <w:semiHidden/>
    <w:rsid w:val="005424C3"/>
    <w:rPr>
      <w:rFonts w:ascii="Tahoma" w:hAnsi="Tahoma"/>
    </w:rPr>
  </w:style>
  <w:style w:type="paragraph" w:styleId="NoteHeading">
    <w:name w:val="Note Heading"/>
    <w:basedOn w:val="Heading1BodyText"/>
    <w:next w:val="Normal"/>
    <w:link w:val="NoteHeadingChar"/>
    <w:uiPriority w:val="99"/>
    <w:semiHidden/>
    <w:rsid w:val="005424C3"/>
  </w:style>
  <w:style w:type="character" w:customStyle="1" w:styleId="NoteHeadingChar">
    <w:name w:val="Note Heading Char"/>
    <w:basedOn w:val="DefaultParagraphFont"/>
    <w:link w:val="NoteHeading"/>
    <w:uiPriority w:val="99"/>
    <w:semiHidden/>
    <w:rsid w:val="001D78E5"/>
    <w:rPr>
      <w:rFonts w:asciiTheme="majorHAnsi" w:hAnsiTheme="majorHAnsi"/>
      <w:color w:val="870034" w:themeColor="text2"/>
      <w:sz w:val="40"/>
    </w:rPr>
  </w:style>
  <w:style w:type="paragraph" w:customStyle="1" w:styleId="Heading1BodyText">
    <w:name w:val="Heading 1 (Body Text)"/>
    <w:basedOn w:val="Heading1"/>
    <w:next w:val="Normal"/>
    <w:uiPriority w:val="10"/>
    <w:semiHidden/>
    <w:rsid w:val="005424C3"/>
    <w:pPr>
      <w:outlineLvl w:val="9"/>
    </w:pPr>
  </w:style>
  <w:style w:type="character" w:styleId="Mention">
    <w:name w:val="Mention"/>
    <w:uiPriority w:val="99"/>
    <w:semiHidden/>
    <w:rsid w:val="005424C3"/>
  </w:style>
  <w:style w:type="character" w:styleId="SmartHyperlink">
    <w:name w:val="Smart Hyperlink"/>
    <w:basedOn w:val="Hyperlink"/>
    <w:uiPriority w:val="99"/>
    <w:semiHidden/>
    <w:rsid w:val="005424C3"/>
    <w:rPr>
      <w:color w:val="0D5A4A" w:themeColor="hyperlink"/>
      <w:u w:val="none" w:color="3D8B7A"/>
    </w:rPr>
  </w:style>
  <w:style w:type="table" w:styleId="GridTable2-Accent1">
    <w:name w:val="Grid Table 2 Accent 1"/>
    <w:basedOn w:val="TableNormal"/>
    <w:uiPriority w:val="47"/>
    <w:rsid w:val="00C96A49"/>
    <w:pPr>
      <w:spacing w:after="0" w:line="240" w:lineRule="auto"/>
    </w:pPr>
    <w:tblPr>
      <w:tblStyleRowBandSize w:val="1"/>
      <w:tblStyleColBandSize w:val="1"/>
      <w:tblBorders>
        <w:top w:val="single" w:sz="2" w:space="0" w:color="FF347B" w:themeColor="accent1" w:themeTint="99"/>
        <w:bottom w:val="single" w:sz="2" w:space="0" w:color="FF347B" w:themeColor="accent1" w:themeTint="99"/>
        <w:insideH w:val="single" w:sz="2" w:space="0" w:color="FF347B" w:themeColor="accent1" w:themeTint="99"/>
        <w:insideV w:val="single" w:sz="2" w:space="0" w:color="FF347B" w:themeColor="accent1" w:themeTint="99"/>
      </w:tblBorders>
    </w:tblPr>
    <w:tblStylePr w:type="firstRow">
      <w:rPr>
        <w:b/>
        <w:bCs/>
      </w:rPr>
      <w:tblPr/>
      <w:tcPr>
        <w:tcBorders>
          <w:top w:val="nil"/>
          <w:bottom w:val="single" w:sz="12" w:space="0" w:color="FF347B" w:themeColor="accent1" w:themeTint="99"/>
          <w:insideH w:val="nil"/>
          <w:insideV w:val="nil"/>
        </w:tcBorders>
        <w:shd w:val="clear" w:color="auto" w:fill="FFFFFF" w:themeFill="background1"/>
      </w:tcPr>
    </w:tblStylePr>
    <w:tblStylePr w:type="lastRow">
      <w:rPr>
        <w:b/>
        <w:bCs/>
      </w:rPr>
      <w:tblPr/>
      <w:tcPr>
        <w:tcBorders>
          <w:top w:val="double" w:sz="2" w:space="0" w:color="FF347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BD2" w:themeFill="accent1" w:themeFillTint="33"/>
      </w:tcPr>
    </w:tblStylePr>
    <w:tblStylePr w:type="band1Horz">
      <w:tblPr/>
      <w:tcPr>
        <w:shd w:val="clear" w:color="auto" w:fill="FFBBD2" w:themeFill="accent1" w:themeFillTint="33"/>
      </w:tcPr>
    </w:tblStylePr>
  </w:style>
  <w:style w:type="character" w:styleId="PlaceholderText">
    <w:name w:val="Placeholder Text"/>
    <w:basedOn w:val="DefaultParagraphFont"/>
    <w:uiPriority w:val="99"/>
    <w:semiHidden/>
    <w:rsid w:val="00CE4209"/>
    <w:rPr>
      <w:color w:val="808080"/>
    </w:rPr>
  </w:style>
  <w:style w:type="numbering" w:customStyle="1" w:styleId="OrderedList">
    <w:name w:val="Ordered List"/>
    <w:uiPriority w:val="99"/>
    <w:rsid w:val="005F6BCF"/>
    <w:pPr>
      <w:numPr>
        <w:numId w:val="25"/>
      </w:numPr>
    </w:pPr>
  </w:style>
  <w:style w:type="numbering" w:customStyle="1" w:styleId="UnorderedList">
    <w:name w:val="Unordered List"/>
    <w:uiPriority w:val="99"/>
    <w:rsid w:val="005F6BCF"/>
    <w:pPr>
      <w:numPr>
        <w:numId w:val="27"/>
      </w:numPr>
    </w:pPr>
  </w:style>
  <w:style w:type="table" w:styleId="GridTable5Dark-Accent6">
    <w:name w:val="Grid Table 5 Dark Accent 6"/>
    <w:basedOn w:val="TableNormal"/>
    <w:uiPriority w:val="50"/>
    <w:rsid w:val="00C96A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8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91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91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91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912D" w:themeFill="accent6"/>
      </w:tcPr>
    </w:tblStylePr>
    <w:tblStylePr w:type="band1Vert">
      <w:tblPr/>
      <w:tcPr>
        <w:shd w:val="clear" w:color="auto" w:fill="F7D2AB" w:themeFill="accent6" w:themeFillTint="66"/>
      </w:tcPr>
    </w:tblStylePr>
    <w:tblStylePr w:type="band1Horz">
      <w:tblPr/>
      <w:tcPr>
        <w:shd w:val="clear" w:color="auto" w:fill="F7D2AB" w:themeFill="accent6" w:themeFillTint="66"/>
      </w:tcPr>
    </w:tblStylePr>
  </w:style>
  <w:style w:type="table" w:styleId="ListTable1Light">
    <w:name w:val="List Table 1 Light"/>
    <w:basedOn w:val="TableNormal"/>
    <w:uiPriority w:val="46"/>
    <w:rsid w:val="00C96A4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
    <w:name w:val="List Table 6 Colorful"/>
    <w:basedOn w:val="TableNormal"/>
    <w:uiPriority w:val="51"/>
    <w:rsid w:val="00C96A4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5">
    <w:name w:val="List Table 7 Colorful Accent 5"/>
    <w:basedOn w:val="TableNormal"/>
    <w:uiPriority w:val="52"/>
    <w:rsid w:val="00C96A49"/>
    <w:pPr>
      <w:spacing w:after="0" w:line="240" w:lineRule="auto"/>
    </w:pPr>
    <w:rPr>
      <w:color w:val="0B65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885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885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885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8852" w:themeColor="accent5"/>
        </w:tcBorders>
        <w:shd w:val="clear" w:color="auto" w:fill="FFFFFF" w:themeFill="background1"/>
      </w:tcPr>
    </w:tblStylePr>
    <w:tblStylePr w:type="band1Vert">
      <w:tblPr/>
      <w:tcPr>
        <w:shd w:val="clear" w:color="auto" w:fill="BEF8DE" w:themeFill="accent5" w:themeFillTint="33"/>
      </w:tcPr>
    </w:tblStylePr>
    <w:tblStylePr w:type="band1Horz">
      <w:tblPr/>
      <w:tcPr>
        <w:shd w:val="clear" w:color="auto" w:fill="BEF8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C96A49"/>
    <w:pPr>
      <w:spacing w:after="0" w:line="240" w:lineRule="auto"/>
    </w:pPr>
    <w:rPr>
      <w:color w:val="81002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003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003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003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003D" w:themeColor="accent1"/>
        </w:tcBorders>
        <w:shd w:val="clear" w:color="auto" w:fill="FFFFFF" w:themeFill="background1"/>
      </w:tcPr>
    </w:tblStylePr>
    <w:tblStylePr w:type="band1Vert">
      <w:tblPr/>
      <w:tcPr>
        <w:shd w:val="clear" w:color="auto" w:fill="FFBBD2" w:themeFill="accent1" w:themeFillTint="33"/>
      </w:tcPr>
    </w:tblStylePr>
    <w:tblStylePr w:type="band1Horz">
      <w:tblPr/>
      <w:tcPr>
        <w:shd w:val="clear" w:color="auto" w:fill="FFBB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C96A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C96A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96A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Text">
    <w:name w:val="Table Text"/>
    <w:basedOn w:val="Normal"/>
    <w:uiPriority w:val="38"/>
    <w:rsid w:val="008A16A1"/>
    <w:pPr>
      <w:spacing w:after="60" w:line="240" w:lineRule="auto"/>
    </w:pPr>
    <w:rPr>
      <w:sz w:val="19"/>
    </w:rPr>
  </w:style>
  <w:style w:type="character" w:styleId="UnresolvedMention">
    <w:name w:val="Unresolved Mention"/>
    <w:basedOn w:val="DefaultParagraphFont"/>
    <w:uiPriority w:val="99"/>
    <w:semiHidden/>
    <w:unhideWhenUsed/>
    <w:rsid w:val="00D7094D"/>
    <w:rPr>
      <w:color w:val="605E5C"/>
      <w:shd w:val="clear" w:color="auto" w:fill="E1DFDD"/>
    </w:rPr>
  </w:style>
  <w:style w:type="table" w:customStyle="1" w:styleId="Box">
    <w:name w:val="Box"/>
    <w:basedOn w:val="TableGrid"/>
    <w:uiPriority w:val="99"/>
    <w:rsid w:val="006D577B"/>
    <w:pPr>
      <w:spacing w:before="120" w:after="40" w:line="312" w:lineRule="auto"/>
    </w:pPr>
    <w:tblPr>
      <w:tblBorders>
        <w:top w:val="single" w:sz="4" w:space="0" w:color="8F7C5D" w:themeColor="background2" w:themeShade="80"/>
        <w:left w:val="single" w:sz="4" w:space="0" w:color="8F7C5D" w:themeColor="background2" w:themeShade="80"/>
        <w:bottom w:val="single" w:sz="4" w:space="0" w:color="8F7C5D" w:themeColor="background2" w:themeShade="80"/>
        <w:right w:val="single" w:sz="4" w:space="0" w:color="8F7C5D" w:themeColor="background2" w:themeShade="80"/>
        <w:insideH w:val="none" w:sz="0" w:space="0" w:color="auto"/>
        <w:insideV w:val="none" w:sz="0" w:space="0" w:color="auto"/>
      </w:tblBorders>
      <w:tblCellMar>
        <w:top w:w="113" w:type="dxa"/>
        <w:left w:w="284" w:type="dxa"/>
        <w:bottom w:w="113" w:type="dxa"/>
        <w:right w:w="284" w:type="dxa"/>
      </w:tblCellMar>
    </w:tblPr>
    <w:tblStylePr w:type="firstRow">
      <w:pPr>
        <w:keepNext/>
        <w:wordWrap/>
      </w:pPr>
      <w:rPr>
        <w:rFonts w:asciiTheme="minorHAnsi" w:hAnsiTheme="minorHAnsi"/>
        <w:b w:val="0"/>
      </w:rPr>
      <w:tblPr/>
      <w:tcPr>
        <w:tcBorders>
          <w:bottom w:val="nil"/>
        </w:tcBorders>
        <w:shd w:val="clear" w:color="auto" w:fill="F0EDE8" w:themeFill="background2"/>
      </w:tcPr>
    </w:tblStylePr>
    <w:tblStylePr w:type="lastRow">
      <w:rPr>
        <w:rFonts w:asciiTheme="minorHAnsi" w:hAnsiTheme="minorHAnsi"/>
        <w:b w:val="0"/>
      </w:rPr>
      <w:tblPr/>
      <w:tcPr>
        <w:tcBorders>
          <w:top w:val="single" w:sz="4" w:space="0" w:color="8F7C5D" w:themeColor="background2" w:themeShade="80"/>
        </w:tcBorders>
        <w:shd w:val="clear" w:color="auto" w:fill="F0EDE8" w:themeFill="background2"/>
      </w:tcPr>
    </w:tblStylePr>
    <w:tblStylePr w:type="firstCol">
      <w:rPr>
        <w:rFonts w:asciiTheme="minorHAnsi" w:hAnsiTheme="minorHAnsi"/>
        <w:b w:val="0"/>
      </w:rPr>
      <w:tblPr/>
      <w:tcPr>
        <w:tcBorders>
          <w:right w:val="single" w:sz="4" w:space="0" w:color="8F7C5D" w:themeColor="background2" w:themeShade="80"/>
        </w:tcBorders>
        <w:shd w:val="clear" w:color="auto" w:fill="F0EDE8" w:themeFill="background2"/>
      </w:tcPr>
    </w:tblStylePr>
    <w:tblStylePr w:type="lastCol">
      <w:rPr>
        <w:rFonts w:asciiTheme="minorHAnsi" w:hAnsiTheme="minorHAnsi"/>
        <w:b w:val="0"/>
      </w:rPr>
      <w:tblPr/>
      <w:tcPr>
        <w:tcBorders>
          <w:left w:val="single" w:sz="4" w:space="0" w:color="8F7C5D" w:themeColor="background2" w:themeShade="80"/>
        </w:tcBorders>
        <w:shd w:val="clear" w:color="auto" w:fill="F0EDE8" w:themeFill="background2"/>
      </w:tcPr>
    </w:tblStylePr>
    <w:tblStylePr w:type="band1Vert">
      <w:tblPr/>
      <w:tcPr>
        <w:tcBorders>
          <w:left w:val="single" w:sz="4" w:space="0" w:color="8F7C5D" w:themeColor="background2" w:themeShade="80"/>
          <w:right w:val="single" w:sz="4" w:space="0" w:color="8F7C5D" w:themeColor="background2" w:themeShade="80"/>
        </w:tcBorders>
        <w:shd w:val="clear" w:color="auto" w:fill="F0EDE8" w:themeFill="background2"/>
      </w:tcPr>
    </w:tblStylePr>
    <w:tblStylePr w:type="band2Vert">
      <w:tblPr/>
      <w:tcPr>
        <w:tcBorders>
          <w:left w:val="single" w:sz="4" w:space="0" w:color="8F7C5D" w:themeColor="background2" w:themeShade="80"/>
          <w:right w:val="single" w:sz="4" w:space="0" w:color="8F7C5D" w:themeColor="background2" w:themeShade="80"/>
        </w:tcBorders>
        <w:shd w:val="clear" w:color="auto" w:fill="F0EDE8" w:themeFill="background2"/>
      </w:tcPr>
    </w:tblStylePr>
    <w:tblStylePr w:type="band1Horz">
      <w:tblPr/>
      <w:tcPr>
        <w:tcBorders>
          <w:top w:val="single" w:sz="4" w:space="0" w:color="8F7C5D" w:themeColor="background2" w:themeShade="80"/>
          <w:bottom w:val="single" w:sz="4" w:space="0" w:color="8F7C5D" w:themeColor="background2" w:themeShade="80"/>
        </w:tcBorders>
        <w:shd w:val="clear" w:color="auto" w:fill="F0EDE8" w:themeFill="background2"/>
      </w:tcPr>
    </w:tblStylePr>
    <w:tblStylePr w:type="band2Horz">
      <w:tblPr/>
      <w:tcPr>
        <w:tcBorders>
          <w:top w:val="single" w:sz="4" w:space="0" w:color="8F7C5D" w:themeColor="background2" w:themeShade="80"/>
          <w:bottom w:val="single" w:sz="4" w:space="0" w:color="8F7C5D" w:themeColor="background2" w:themeShade="80"/>
        </w:tcBorders>
        <w:shd w:val="clear" w:color="auto" w:fill="F0EDE8" w:themeFill="background2"/>
      </w:tcPr>
    </w:tblStylePr>
    <w:tblStylePr w:type="neCell">
      <w:tblPr/>
      <w:tcPr>
        <w:tcBorders>
          <w:top w:val="single" w:sz="4" w:space="0" w:color="8F7C5D" w:themeColor="background2" w:themeShade="80"/>
          <w:left w:val="single" w:sz="4" w:space="0" w:color="8F7C5D" w:themeColor="background2" w:themeShade="80"/>
          <w:bottom w:val="single" w:sz="4" w:space="0" w:color="8F7C5D" w:themeColor="background2" w:themeShade="80"/>
          <w:right w:val="single" w:sz="4" w:space="0" w:color="8F7C5D" w:themeColor="background2" w:themeShade="80"/>
          <w:insideH w:val="nil"/>
          <w:insideV w:val="nil"/>
          <w:tl2br w:val="nil"/>
          <w:tr2bl w:val="nil"/>
        </w:tcBorders>
      </w:tcPr>
    </w:tblStylePr>
    <w:tblStylePr w:type="nwCell">
      <w:tblPr/>
      <w:tcPr>
        <w:tcBorders>
          <w:top w:val="single" w:sz="4" w:space="0" w:color="8F7C5D" w:themeColor="background2" w:themeShade="80"/>
          <w:left w:val="single" w:sz="4" w:space="0" w:color="8F7C5D" w:themeColor="background2" w:themeShade="80"/>
          <w:bottom w:val="single" w:sz="4" w:space="0" w:color="8F7C5D" w:themeColor="background2" w:themeShade="80"/>
          <w:right w:val="single" w:sz="4" w:space="0" w:color="8F7C5D" w:themeColor="background2" w:themeShade="80"/>
          <w:insideH w:val="nil"/>
          <w:insideV w:val="nil"/>
          <w:tl2br w:val="nil"/>
          <w:tr2bl w:val="nil"/>
        </w:tcBorders>
      </w:tcPr>
    </w:tblStylePr>
    <w:tblStylePr w:type="seCell">
      <w:tblPr/>
      <w:tcPr>
        <w:tcBorders>
          <w:top w:val="single" w:sz="4" w:space="0" w:color="8F7C5D" w:themeColor="background2" w:themeShade="80"/>
          <w:left w:val="single" w:sz="4" w:space="0" w:color="8F7C5D" w:themeColor="background2" w:themeShade="80"/>
          <w:bottom w:val="single" w:sz="4" w:space="0" w:color="8F7C5D" w:themeColor="background2" w:themeShade="80"/>
          <w:right w:val="single" w:sz="4" w:space="0" w:color="8F7C5D" w:themeColor="background2" w:themeShade="80"/>
          <w:insideH w:val="nil"/>
          <w:insideV w:val="nil"/>
          <w:tl2br w:val="nil"/>
          <w:tr2bl w:val="nil"/>
        </w:tcBorders>
      </w:tcPr>
    </w:tblStylePr>
    <w:tblStylePr w:type="swCell">
      <w:tblPr/>
      <w:tcPr>
        <w:tcBorders>
          <w:top w:val="single" w:sz="4" w:space="0" w:color="8F7C5D" w:themeColor="background2" w:themeShade="80"/>
          <w:left w:val="single" w:sz="4" w:space="0" w:color="8F7C5D" w:themeColor="background2" w:themeShade="80"/>
          <w:bottom w:val="single" w:sz="4" w:space="0" w:color="8F7C5D" w:themeColor="background2" w:themeShade="80"/>
          <w:right w:val="single" w:sz="4" w:space="0" w:color="8F7C5D" w:themeColor="background2" w:themeShade="80"/>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066">
      <w:bodyDiv w:val="1"/>
      <w:marLeft w:val="0"/>
      <w:marRight w:val="0"/>
      <w:marTop w:val="0"/>
      <w:marBottom w:val="0"/>
      <w:divBdr>
        <w:top w:val="none" w:sz="0" w:space="0" w:color="auto"/>
        <w:left w:val="none" w:sz="0" w:space="0" w:color="auto"/>
        <w:bottom w:val="none" w:sz="0" w:space="0" w:color="auto"/>
        <w:right w:val="none" w:sz="0" w:space="0" w:color="auto"/>
      </w:divBdr>
    </w:div>
    <w:div w:id="62265798">
      <w:bodyDiv w:val="1"/>
      <w:marLeft w:val="0"/>
      <w:marRight w:val="0"/>
      <w:marTop w:val="0"/>
      <w:marBottom w:val="0"/>
      <w:divBdr>
        <w:top w:val="none" w:sz="0" w:space="0" w:color="auto"/>
        <w:left w:val="none" w:sz="0" w:space="0" w:color="auto"/>
        <w:bottom w:val="none" w:sz="0" w:space="0" w:color="auto"/>
        <w:right w:val="none" w:sz="0" w:space="0" w:color="auto"/>
      </w:divBdr>
    </w:div>
    <w:div w:id="146827682">
      <w:bodyDiv w:val="1"/>
      <w:marLeft w:val="0"/>
      <w:marRight w:val="0"/>
      <w:marTop w:val="0"/>
      <w:marBottom w:val="0"/>
      <w:divBdr>
        <w:top w:val="none" w:sz="0" w:space="0" w:color="auto"/>
        <w:left w:val="none" w:sz="0" w:space="0" w:color="auto"/>
        <w:bottom w:val="none" w:sz="0" w:space="0" w:color="auto"/>
        <w:right w:val="none" w:sz="0" w:space="0" w:color="auto"/>
      </w:divBdr>
    </w:div>
    <w:div w:id="653074210">
      <w:bodyDiv w:val="1"/>
      <w:marLeft w:val="0"/>
      <w:marRight w:val="0"/>
      <w:marTop w:val="0"/>
      <w:marBottom w:val="0"/>
      <w:divBdr>
        <w:top w:val="none" w:sz="0" w:space="0" w:color="auto"/>
        <w:left w:val="none" w:sz="0" w:space="0" w:color="auto"/>
        <w:bottom w:val="none" w:sz="0" w:space="0" w:color="auto"/>
        <w:right w:val="none" w:sz="0" w:space="0" w:color="auto"/>
      </w:divBdr>
    </w:div>
    <w:div w:id="1456825654">
      <w:bodyDiv w:val="1"/>
      <w:marLeft w:val="0"/>
      <w:marRight w:val="0"/>
      <w:marTop w:val="0"/>
      <w:marBottom w:val="0"/>
      <w:divBdr>
        <w:top w:val="none" w:sz="0" w:space="0" w:color="auto"/>
        <w:left w:val="none" w:sz="0" w:space="0" w:color="auto"/>
        <w:bottom w:val="none" w:sz="0" w:space="0" w:color="auto"/>
        <w:right w:val="none" w:sz="0" w:space="0" w:color="auto"/>
      </w:divBdr>
    </w:div>
    <w:div w:id="1564174539">
      <w:bodyDiv w:val="1"/>
      <w:marLeft w:val="0"/>
      <w:marRight w:val="0"/>
      <w:marTop w:val="0"/>
      <w:marBottom w:val="0"/>
      <w:divBdr>
        <w:top w:val="none" w:sz="0" w:space="0" w:color="auto"/>
        <w:left w:val="none" w:sz="0" w:space="0" w:color="auto"/>
        <w:bottom w:val="none" w:sz="0" w:space="0" w:color="auto"/>
        <w:right w:val="none" w:sz="0" w:space="0" w:color="auto"/>
      </w:divBdr>
    </w:div>
    <w:div w:id="156953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8" Type="http://schemas.openxmlformats.org/officeDocument/2006/relationships/hyperlink" Target="https://www.unodc.org/documents/corruption/Publications/2020/THE_TIME_IS_NOW_2020_12_08.pdf" TargetMode="External"/><Relationship Id="rId13" Type="http://schemas.openxmlformats.org/officeDocument/2006/relationships/hyperlink" Target="https://www.apec.org/docs/default-source/publications/2020/11/bridging-the-gender-gap/220_act_bridging-the-gender-gap.pdf?sfvrsn=2b6beaab_1" TargetMode="External"/><Relationship Id="rId18" Type="http://schemas.openxmlformats.org/officeDocument/2006/relationships/hyperlink" Target="https://www.mexiro.org/proyectos/mujeres-anticorrupcion-pautas" TargetMode="External"/><Relationship Id="rId3" Type="http://schemas.openxmlformats.org/officeDocument/2006/relationships/hyperlink" Target="https://uncaccoalition.org/wp-content/uploads/Gender-Working-Group-Submission-to-the-CoSP10.pdf" TargetMode="External"/><Relationship Id="rId21" Type="http://schemas.openxmlformats.org/officeDocument/2006/relationships/hyperlink" Target="https://www.transparency.org/en/alacs" TargetMode="External"/><Relationship Id="rId7" Type="http://schemas.openxmlformats.org/officeDocument/2006/relationships/hyperlink" Target="https://www.unodc.org/documents/treaties/UNCAC/COSP/session10/resolutions/L-documents/2325384E_L.14_Rev.1.pdf" TargetMode="External"/><Relationship Id="rId12" Type="http://schemas.openxmlformats.org/officeDocument/2006/relationships/hyperlink" Target="https://www.bnp.gob.pe/wp-content/uploads/2022/05/Plan-Nacional-de-Integridad-y-Lucha-contra-la-Corrupci%C3%B3n-2018-2021.pdf.pdf" TargetMode="External"/><Relationship Id="rId17" Type="http://schemas.openxmlformats.org/officeDocument/2006/relationships/hyperlink" Target="https://eurosocial.eu/wp-content/uploads/2019/04/OK-5-Mujer-y-corrupcion-EUROSOCIAL.pdf" TargetMode="External"/><Relationship Id="rId2" Type="http://schemas.openxmlformats.org/officeDocument/2006/relationships/hyperlink" Target="https://jogh.org/2024/jogh-14-04011/" TargetMode="External"/><Relationship Id="rId16" Type="http://schemas.openxmlformats.org/officeDocument/2006/relationships/hyperlink" Target="https://elibrary.osg.go.tz/server/api/core/bitstreams/3b948878-6396-4830-be95-0ead5b823b82/content" TargetMode="External"/><Relationship Id="rId20" Type="http://schemas.openxmlformats.org/officeDocument/2006/relationships/hyperlink" Target="https://www.tisrilanka.org/microfinance-and-credit-regulatory-authority-bill-tisl-files-petition-in-the-supreme-court/" TargetMode="External"/><Relationship Id="rId1" Type="http://schemas.openxmlformats.org/officeDocument/2006/relationships/hyperlink" Target="https://uncaccoalition.org/get-involved/working-groups/gender-inclusion-corruption/" TargetMode="External"/><Relationship Id="rId6" Type="http://schemas.openxmlformats.org/officeDocument/2006/relationships/hyperlink" Target="https://sdgs.un.org/goals" TargetMode="External"/><Relationship Id="rId11" Type="http://schemas.openxmlformats.org/officeDocument/2006/relationships/hyperlink" Target="https://www.apec.org/docs/default-source/publications/2020/11/bridging-the-gender-gap/220_act_bridging-the-gender-gap.pdf?sfvrsn=2b6beaab_1" TargetMode="External"/><Relationship Id="rId5" Type="http://schemas.openxmlformats.org/officeDocument/2006/relationships/hyperlink" Target="https://www.unodc.org/documents/organized-crime/tools_and_publications/Toolkit-gender-_and_human_rights_mainstreaming-ebook-EN.pdf" TargetMode="External"/><Relationship Id="rId15" Type="http://schemas.openxmlformats.org/officeDocument/2006/relationships/hyperlink" Target="https://www.apec.org/docs/default-source/publications/2022/2/apec-gender-mainstreaming-training-package-mentor%27s-handbook/222_act_gender-mainstreaming-training-package_mentor%27s-handbook.pdf?sfvrsn=d0eb6909_2" TargetMode="External"/><Relationship Id="rId10" Type="http://schemas.openxmlformats.org/officeDocument/2006/relationships/hyperlink" Target="https://eurosocial.eu/wp-content/uploads/2019/04/OK-5-Mujer-y-corrupcion-EUROSOCIAL.pdf" TargetMode="External"/><Relationship Id="rId19" Type="http://schemas.openxmlformats.org/officeDocument/2006/relationships/hyperlink" Target="https://occ-america.com/wp-content/uploads/2022/04/3.-inclusion-del-enfoque-de-genero-en-la-lucha-contra-la-corrupcion-1.pdf" TargetMode="External"/><Relationship Id="rId4" Type="http://schemas.openxmlformats.org/officeDocument/2006/relationships/hyperlink" Target="https://www.u4.no/blog/anti-corruption-as-a-feminist-cause-the-gendered-dimensions-of-power-abuse" TargetMode="External"/><Relationship Id="rId9" Type="http://schemas.openxmlformats.org/officeDocument/2006/relationships/hyperlink" Target="https://eurosocial.eu/politicas-de-igualdad-de-genero/" TargetMode="External"/><Relationship Id="rId14" Type="http://schemas.openxmlformats.org/officeDocument/2006/relationships/hyperlink" Target="https://track.unodc.org/uploads/documents/UNCAC/WorkingGroups/workinggroup4/2024-September-3-6/Contributions/CU2024-133/Australia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ncaccoalition/Downloads/UNCAC%20Coalition%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085621834B7D43979B74154BC49213"/>
        <w:category>
          <w:name w:val="General"/>
          <w:gallery w:val="placeholder"/>
        </w:category>
        <w:types>
          <w:type w:val="bbPlcHdr"/>
        </w:types>
        <w:behaviors>
          <w:behavior w:val="content"/>
        </w:behaviors>
        <w:guid w:val="{51382640-B301-0D42-B061-5163326EBBB4}"/>
      </w:docPartPr>
      <w:docPartBody>
        <w:p w:rsidR="00043C6D" w:rsidRDefault="00000000">
          <w:pPr>
            <w:pStyle w:val="42085621834B7D43979B74154BC49213"/>
          </w:pPr>
          <w:r w:rsidRPr="00C53D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Inter">
    <w:altName w:val="Calibri"/>
    <w:panose1 w:val="020B0604020202020204"/>
    <w:charset w:val="00"/>
    <w:family w:val="auto"/>
    <w:pitch w:val="default"/>
  </w:font>
  <w:font w:name="Lexend">
    <w:altName w:val="Calibri"/>
    <w:panose1 w:val="020B06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Source Code Pro">
    <w:panose1 w:val="020B0509030403020204"/>
    <w:charset w:val="00"/>
    <w:family w:val="modern"/>
    <w:pitch w:val="fixed"/>
    <w:sig w:usb0="200002F7" w:usb1="02003803"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dugi">
    <w:panose1 w:val="020B0502040204020203"/>
    <w:charset w:val="00"/>
    <w:family w:val="swiss"/>
    <w:pitch w:val="variable"/>
    <w:sig w:usb0="80000003" w:usb1="02000000" w:usb2="00003000" w:usb3="00000000" w:csb0="00000001"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93"/>
    <w:rsid w:val="00043C6D"/>
    <w:rsid w:val="000D01A1"/>
    <w:rsid w:val="002F62E0"/>
    <w:rsid w:val="0036439A"/>
    <w:rsid w:val="003D5093"/>
    <w:rsid w:val="00427D5E"/>
    <w:rsid w:val="004C76FA"/>
    <w:rsid w:val="00634C17"/>
    <w:rsid w:val="00923574"/>
    <w:rsid w:val="009E718F"/>
    <w:rsid w:val="00A84359"/>
    <w:rsid w:val="00CC103F"/>
    <w:rsid w:val="00E25AD4"/>
    <w:rsid w:val="00EA6647"/>
    <w:rsid w:val="00FC52BA"/>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T"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2085621834B7D43979B74154BC49213">
    <w:name w:val="42085621834B7D43979B74154BC49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NCAC Coalition">
      <a:dk1>
        <a:srgbClr val="000000"/>
      </a:dk1>
      <a:lt1>
        <a:srgbClr val="FFFFFF"/>
      </a:lt1>
      <a:dk2>
        <a:srgbClr val="870034"/>
      </a:dk2>
      <a:lt2>
        <a:srgbClr val="F0EDE8"/>
      </a:lt2>
      <a:accent1>
        <a:srgbClr val="AD003D"/>
      </a:accent1>
      <a:accent2>
        <a:srgbClr val="5E3482"/>
      </a:accent2>
      <a:accent3>
        <a:srgbClr val="00639C"/>
      </a:accent3>
      <a:accent4>
        <a:srgbClr val="00A48B"/>
      </a:accent4>
      <a:accent5>
        <a:srgbClr val="0F8852"/>
      </a:accent5>
      <a:accent6>
        <a:srgbClr val="EB912D"/>
      </a:accent6>
      <a:hlink>
        <a:srgbClr val="0D5A4A"/>
      </a:hlink>
      <a:folHlink>
        <a:srgbClr val="0D5A4A"/>
      </a:folHlink>
    </a:clrScheme>
    <a:fontScheme name="UNCAC Coalition">
      <a:majorFont>
        <a:latin typeface="Lexen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NewSourcePlace</b:Tag>
    <b:RefOrder>2</b:RefOrder>
  </b:Source>
  <b:Source>
    <b:Tag>Hub15</b:Tag>
    <b:SourceType>Report</b:SourceType>
    <b:Guid>{55FA7666-08F4-4CEF-9631-D8E21642403B}</b:Guid>
    <b:Title>2015 Social Media Benchmarks Report</b:Title>
    <b:Year>2015</b:Year>
    <b:Author>
      <b:Author>
        <b:Corporate>Hubspot</b:Corporate>
      </b:Author>
    </b:Author>
    <b:Publisher>Hubspot</b:Publisher>
    <b:City>Cambridge, MA</b:City>
    <b:RefOrder>1</b:RefOrder>
  </b:Source>
</b:Sources>
</file>

<file path=customXml/itemProps1.xml><?xml version="1.0" encoding="utf-8"?>
<ds:datastoreItem xmlns:ds="http://schemas.openxmlformats.org/officeDocument/2006/customXml" ds:itemID="{6F4B1456-1542-41DE-81C2-C03E8BFE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UNCAC Coalition (1).dotx</Template>
  <TotalTime>84</TotalTime>
  <Pages>6</Pages>
  <Words>1290</Words>
  <Characters>8689</Characters>
  <Application>Microsoft Office Word</Application>
  <DocSecurity>0</DocSecurity>
  <Lines>140</Lines>
  <Paragraphs>47</Paragraphs>
  <ScaleCrop>false</ScaleCrop>
  <HeadingPairs>
    <vt:vector size="2" baseType="variant">
      <vt:variant>
        <vt:lpstr>Title</vt:lpstr>
      </vt:variant>
      <vt:variant>
        <vt:i4>1</vt:i4>
      </vt:variant>
    </vt:vector>
  </HeadingPairs>
  <TitlesOfParts>
    <vt:vector size="1" baseType="lpstr">
      <vt:lpstr>Gender Mainstreaming in Anti-Corruption Efforts</vt:lpstr>
    </vt:vector>
  </TitlesOfParts>
  <Company>UNCAC Coalition</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Mainstreaming in Anti-Corruption Efforts</dc:title>
  <dc:subject/>
  <dc:creator>Miguel Rodrigues</dc:creator>
  <cp:keywords/>
  <dc:description/>
  <cp:lastModifiedBy>Isabella Moggs</cp:lastModifiedBy>
  <cp:revision>28</cp:revision>
  <dcterms:created xsi:type="dcterms:W3CDTF">2025-11-19T09:14:00Z</dcterms:created>
  <dcterms:modified xsi:type="dcterms:W3CDTF">2025-11-21T11:09:00Z</dcterms:modified>
</cp:coreProperties>
</file>