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4000" w14:textId="4CFF00E2" w:rsidR="00886105" w:rsidRPr="00A6465C" w:rsidRDefault="00886105" w:rsidP="00886105">
      <w:pPr>
        <w:pStyle w:val="paragraph"/>
        <w:spacing w:before="0" w:beforeAutospacing="0" w:after="0" w:afterAutospacing="0"/>
        <w:jc w:val="center"/>
        <w:textAlignment w:val="baseline"/>
        <w:rPr>
          <w:rFonts w:ascii="Calibri" w:hAnsi="Calibri" w:cs="Calibri"/>
          <w:sz w:val="28"/>
          <w:szCs w:val="28"/>
        </w:rPr>
      </w:pPr>
      <w:r w:rsidRPr="00A6465C">
        <w:rPr>
          <w:rStyle w:val="normaltextrun"/>
          <w:rFonts w:ascii="Calibri" w:hAnsi="Calibri" w:cs="Calibri"/>
          <w:b/>
          <w:bCs/>
          <w:sz w:val="28"/>
          <w:szCs w:val="28"/>
        </w:rPr>
        <w:t xml:space="preserve">GFAR PROGRESS REPORT ON </w:t>
      </w:r>
      <w:r>
        <w:rPr>
          <w:rStyle w:val="normaltextrun"/>
          <w:rFonts w:ascii="Calibri" w:hAnsi="Calibri" w:cs="Calibri"/>
          <w:b/>
          <w:bCs/>
          <w:sz w:val="28"/>
          <w:szCs w:val="28"/>
        </w:rPr>
        <w:t>THE UNITED KINGDOM</w:t>
      </w:r>
      <w:r>
        <w:rPr>
          <w:rStyle w:val="normaltextrun"/>
          <w:rFonts w:ascii="Calibri" w:hAnsi="Calibri" w:cs="Calibri"/>
          <w:b/>
          <w:bCs/>
          <w:sz w:val="28"/>
          <w:szCs w:val="28"/>
        </w:rPr>
        <w:t xml:space="preserve"> – DECEMBER 2019</w:t>
      </w:r>
    </w:p>
    <w:p w14:paraId="164B32B8" w14:textId="77777777" w:rsidR="00886105" w:rsidRPr="00A6465C" w:rsidRDefault="00886105" w:rsidP="00886105">
      <w:pPr>
        <w:pStyle w:val="paragraph"/>
        <w:spacing w:before="0" w:beforeAutospacing="0" w:after="0" w:afterAutospacing="0"/>
        <w:jc w:val="center"/>
        <w:textAlignment w:val="baseline"/>
        <w:rPr>
          <w:rFonts w:ascii="Calibri" w:hAnsi="Calibri" w:cs="Calibri"/>
          <w:bCs/>
          <w:sz w:val="22"/>
          <w:szCs w:val="22"/>
        </w:rPr>
      </w:pPr>
      <w:r w:rsidRPr="00A6465C">
        <w:rPr>
          <w:rStyle w:val="normaltextrun"/>
          <w:rFonts w:ascii="Calibri" w:hAnsi="Calibri" w:cs="Calibri"/>
          <w:bCs/>
          <w:sz w:val="22"/>
          <w:szCs w:val="22"/>
        </w:rPr>
        <w:t>DEVELOPMENTS IN GFAR COUNTRIES SINCE DECEMBER 2017</w:t>
      </w:r>
      <w:r w:rsidRPr="00A6465C">
        <w:rPr>
          <w:rFonts w:ascii="Calibri" w:hAnsi="Calibri" w:cs="Calibri"/>
          <w:sz w:val="22"/>
          <w:szCs w:val="22"/>
        </w:rPr>
        <w:t xml:space="preserve"> </w:t>
      </w:r>
    </w:p>
    <w:p w14:paraId="1313690A" w14:textId="61661344" w:rsidR="00886105" w:rsidRDefault="00886105">
      <w:pPr>
        <w:spacing w:after="160" w:line="259" w:lineRule="auto"/>
        <w:rPr>
          <w:rFonts w:ascii="Calibri" w:eastAsia="Calibri" w:hAnsi="Calibri" w:cs="Calibri"/>
          <w:b/>
          <w:color w:val="808080"/>
          <w:lang w:val="en-GB"/>
        </w:rPr>
      </w:pPr>
    </w:p>
    <w:p w14:paraId="017EAF7F" w14:textId="6B756E3F" w:rsidR="00FB46A2" w:rsidRPr="00886105" w:rsidRDefault="00BA5DFC">
      <w:pPr>
        <w:spacing w:after="160" w:line="259" w:lineRule="auto"/>
        <w:rPr>
          <w:rFonts w:ascii="Calibri" w:eastAsia="Calibri" w:hAnsi="Calibri" w:cs="Calibri"/>
          <w:b/>
          <w:color w:val="auto"/>
          <w:lang w:val="en-GB"/>
        </w:rPr>
      </w:pPr>
      <w:r w:rsidRPr="00886105">
        <w:rPr>
          <w:rFonts w:ascii="Calibri" w:eastAsia="Calibri" w:hAnsi="Calibri" w:cs="Calibri"/>
          <w:b/>
          <w:color w:val="auto"/>
          <w:lang w:val="en-GB"/>
        </w:rPr>
        <w:t>KEY FINDINGS</w:t>
      </w:r>
    </w:p>
    <w:p w14:paraId="20C0CE95" w14:textId="31C309DF" w:rsidR="00FB46A2" w:rsidRPr="0074163A" w:rsidRDefault="00BA5DFC" w:rsidP="00BA5DFC">
      <w:pPr>
        <w:spacing w:after="120" w:line="259" w:lineRule="auto"/>
        <w:rPr>
          <w:rFonts w:ascii="Calibri" w:eastAsia="Calibri" w:hAnsi="Calibri" w:cs="Calibri"/>
          <w:lang w:val="en-GB"/>
        </w:rPr>
      </w:pPr>
      <w:r w:rsidRPr="000A3F00">
        <w:rPr>
          <w:rFonts w:ascii="Calibri" w:eastAsia="Calibri" w:hAnsi="Calibri" w:cs="Calibri"/>
          <w:lang w:val="en-GB"/>
        </w:rPr>
        <w:t>Since our last report in December 2017</w:t>
      </w:r>
      <w:r w:rsidR="0057659F">
        <w:rPr>
          <w:rFonts w:ascii="Calibri" w:eastAsia="Calibri" w:hAnsi="Calibri" w:cs="Calibri"/>
          <w:lang w:val="en-GB"/>
        </w:rPr>
        <w:t>,</w:t>
      </w:r>
      <w:r w:rsidR="003E55BE">
        <w:rPr>
          <w:rStyle w:val="FootnoteReference"/>
          <w:rFonts w:eastAsia="Calibri" w:cs="Calibri"/>
          <w:lang w:val="en-GB"/>
        </w:rPr>
        <w:footnoteReference w:id="1"/>
      </w:r>
      <w:r w:rsidRPr="000A3F00">
        <w:rPr>
          <w:rFonts w:ascii="Calibri" w:eastAsia="Calibri" w:hAnsi="Calibri" w:cs="Calibri"/>
          <w:lang w:val="en-GB"/>
        </w:rPr>
        <w:t xml:space="preserve"> </w:t>
      </w:r>
      <w:r w:rsidR="001E1210" w:rsidRPr="000A3F00">
        <w:rPr>
          <w:rFonts w:ascii="Calibri" w:eastAsia="Calibri" w:hAnsi="Calibri" w:cs="Calibri"/>
          <w:lang w:val="en-GB"/>
        </w:rPr>
        <w:t>the National Crime Agency (NCA) have used two</w:t>
      </w:r>
      <w:r w:rsidRPr="000A3F00">
        <w:rPr>
          <w:rFonts w:ascii="Calibri" w:eastAsia="Calibri" w:hAnsi="Calibri" w:cs="Calibri"/>
          <w:lang w:val="en-GB"/>
        </w:rPr>
        <w:t xml:space="preserve"> </w:t>
      </w:r>
      <w:r w:rsidR="00FE6169" w:rsidRPr="000A3F00">
        <w:rPr>
          <w:rFonts w:ascii="Calibri" w:eastAsia="Calibri" w:hAnsi="Calibri" w:cs="Calibri"/>
          <w:lang w:val="en-GB"/>
        </w:rPr>
        <w:t>new</w:t>
      </w:r>
      <w:r w:rsidRPr="000A3F00">
        <w:rPr>
          <w:rFonts w:ascii="Calibri" w:eastAsia="Calibri" w:hAnsi="Calibri" w:cs="Calibri"/>
          <w:lang w:val="en-GB"/>
        </w:rPr>
        <w:t xml:space="preserve"> civil recovery powers</w:t>
      </w:r>
      <w:r w:rsidR="00B745D1">
        <w:rPr>
          <w:rFonts w:ascii="Calibri" w:eastAsia="Calibri" w:hAnsi="Calibri" w:cs="Calibri"/>
          <w:lang w:val="en-GB"/>
        </w:rPr>
        <w:t xml:space="preserve"> </w:t>
      </w:r>
      <w:r w:rsidR="00690FFA">
        <w:rPr>
          <w:rFonts w:ascii="Calibri" w:eastAsia="Calibri" w:hAnsi="Calibri" w:cs="Calibri"/>
          <w:lang w:val="en-GB"/>
        </w:rPr>
        <w:t xml:space="preserve">– </w:t>
      </w:r>
      <w:r w:rsidR="00B745D1">
        <w:rPr>
          <w:rFonts w:ascii="Calibri" w:eastAsia="Calibri" w:hAnsi="Calibri" w:cs="Calibri"/>
          <w:lang w:val="en-GB"/>
        </w:rPr>
        <w:t xml:space="preserve"> Unexplained Wealth Orders (UWO) and Account Freezing Orders (AFO)</w:t>
      </w:r>
      <w:r w:rsidR="00AF399F">
        <w:rPr>
          <w:rStyle w:val="FootnoteReference"/>
          <w:rFonts w:eastAsia="Calibri" w:cs="Calibri"/>
          <w:lang w:val="en-GB"/>
        </w:rPr>
        <w:footnoteReference w:id="2"/>
      </w:r>
      <w:r w:rsidR="00690FFA">
        <w:rPr>
          <w:rFonts w:ascii="Calibri" w:eastAsia="Calibri" w:hAnsi="Calibri" w:cs="Calibri"/>
          <w:lang w:val="en-GB"/>
        </w:rPr>
        <w:t xml:space="preserve"> –</w:t>
      </w:r>
      <w:r w:rsidRPr="000A3F00">
        <w:rPr>
          <w:rFonts w:ascii="Calibri" w:eastAsia="Calibri" w:hAnsi="Calibri" w:cs="Calibri"/>
          <w:lang w:val="en-GB"/>
        </w:rPr>
        <w:t xml:space="preserve"> </w:t>
      </w:r>
      <w:r w:rsidR="006838C4">
        <w:rPr>
          <w:rFonts w:ascii="Calibri" w:eastAsia="Calibri" w:hAnsi="Calibri" w:cs="Calibri"/>
          <w:lang w:val="en-GB"/>
        </w:rPr>
        <w:t>which have</w:t>
      </w:r>
      <w:r w:rsidR="00AF399F">
        <w:rPr>
          <w:rFonts w:ascii="Calibri" w:eastAsia="Calibri" w:hAnsi="Calibri" w:cs="Calibri"/>
          <w:lang w:val="en-GB"/>
        </w:rPr>
        <w:t xml:space="preserve"> led to the restraint of</w:t>
      </w:r>
      <w:r w:rsidR="00CF5DA9">
        <w:rPr>
          <w:rFonts w:ascii="Calibri" w:eastAsia="Calibri" w:hAnsi="Calibri" w:cs="Calibri"/>
          <w:lang w:val="en-GB"/>
        </w:rPr>
        <w:t xml:space="preserve"> over</w:t>
      </w:r>
      <w:r w:rsidRPr="000A3F00">
        <w:rPr>
          <w:rFonts w:ascii="Calibri" w:eastAsia="Calibri" w:hAnsi="Calibri" w:cs="Calibri"/>
          <w:lang w:val="en-GB"/>
        </w:rPr>
        <w:t xml:space="preserve"> £</w:t>
      </w:r>
      <w:r w:rsidR="00CF5DA9">
        <w:rPr>
          <w:rFonts w:ascii="Calibri" w:eastAsia="Calibri" w:hAnsi="Calibri" w:cs="Calibri"/>
          <w:lang w:val="en-GB"/>
        </w:rPr>
        <w:t>290</w:t>
      </w:r>
      <w:r w:rsidRPr="000A3F00">
        <w:rPr>
          <w:rFonts w:ascii="Calibri" w:eastAsia="Calibri" w:hAnsi="Calibri" w:cs="Calibri"/>
          <w:lang w:val="en-GB"/>
        </w:rPr>
        <w:t xml:space="preserve"> million in suspected corrupt wealth.</w:t>
      </w:r>
      <w:r w:rsidR="008046A3" w:rsidRPr="000A3F00">
        <w:rPr>
          <w:rFonts w:ascii="Calibri" w:eastAsia="Calibri" w:hAnsi="Calibri" w:cs="Calibri"/>
          <w:lang w:val="en-GB"/>
        </w:rPr>
        <w:t xml:space="preserve"> </w:t>
      </w:r>
      <w:r w:rsidR="001E1210" w:rsidRPr="000A3F00">
        <w:rPr>
          <w:rFonts w:ascii="Calibri" w:eastAsia="Calibri" w:hAnsi="Calibri" w:cs="Calibri"/>
          <w:lang w:val="en-GB"/>
        </w:rPr>
        <w:t xml:space="preserve">This is a welcome and significant improvement on past performance, which we hope will continue as these new powers bed-in. However, overall recovery rates remain small compared to the </w:t>
      </w:r>
      <w:r w:rsidR="0057659F">
        <w:rPr>
          <w:rFonts w:ascii="Calibri" w:eastAsia="Calibri" w:hAnsi="Calibri" w:cs="Calibri"/>
          <w:lang w:val="en-GB"/>
        </w:rPr>
        <w:t xml:space="preserve">estimated </w:t>
      </w:r>
      <w:r w:rsidR="001E1210" w:rsidRPr="000A3F00">
        <w:rPr>
          <w:rFonts w:ascii="Calibri" w:eastAsia="Calibri" w:hAnsi="Calibri" w:cs="Calibri"/>
          <w:lang w:val="en-GB"/>
        </w:rPr>
        <w:t>overall amount of corrupt money in the UK economy, and questions remain about law enforcement agencies’ and prosecutors’ capacity to take on higher-risk cases.</w:t>
      </w:r>
    </w:p>
    <w:p w14:paraId="1FC1E7A6" w14:textId="05B015CB" w:rsidR="00FB46A2" w:rsidRPr="00C163DA" w:rsidRDefault="00ED4565">
      <w:pPr>
        <w:spacing w:after="160" w:line="259" w:lineRule="auto"/>
        <w:rPr>
          <w:rFonts w:ascii="Calibri" w:eastAsia="Calibri" w:hAnsi="Calibri" w:cs="Calibri"/>
          <w:i/>
          <w:color w:val="auto"/>
          <w:lang w:val="en-GB"/>
        </w:rPr>
      </w:pPr>
      <w:r w:rsidRPr="00C163DA">
        <w:rPr>
          <w:rFonts w:ascii="Calibri" w:eastAsia="Calibri" w:hAnsi="Calibri" w:cs="Calibri"/>
          <w:i/>
          <w:color w:val="auto"/>
          <w:lang w:val="en-GB"/>
        </w:rPr>
        <w:t xml:space="preserve">Institutional </w:t>
      </w:r>
      <w:r w:rsidR="008F715E" w:rsidRPr="00C163DA">
        <w:rPr>
          <w:rFonts w:ascii="Calibri" w:eastAsia="Calibri" w:hAnsi="Calibri" w:cs="Calibri"/>
          <w:i/>
          <w:color w:val="auto"/>
          <w:lang w:val="en-GB"/>
        </w:rPr>
        <w:t>S</w:t>
      </w:r>
      <w:r w:rsidRPr="00C163DA">
        <w:rPr>
          <w:rFonts w:ascii="Calibri" w:eastAsia="Calibri" w:hAnsi="Calibri" w:cs="Calibri"/>
          <w:i/>
          <w:color w:val="auto"/>
          <w:lang w:val="en-GB"/>
        </w:rPr>
        <w:t xml:space="preserve">trengths and </w:t>
      </w:r>
      <w:r w:rsidR="008F715E" w:rsidRPr="00C163DA">
        <w:rPr>
          <w:rFonts w:ascii="Calibri" w:eastAsia="Calibri" w:hAnsi="Calibri" w:cs="Calibri"/>
          <w:i/>
          <w:color w:val="auto"/>
          <w:lang w:val="en-GB"/>
        </w:rPr>
        <w:t>W</w:t>
      </w:r>
      <w:r w:rsidRPr="00C163DA">
        <w:rPr>
          <w:rFonts w:ascii="Calibri" w:eastAsia="Calibri" w:hAnsi="Calibri" w:cs="Calibri"/>
          <w:i/>
          <w:color w:val="auto"/>
          <w:lang w:val="en-GB"/>
        </w:rPr>
        <w:t>eaknesses</w:t>
      </w:r>
    </w:p>
    <w:p w14:paraId="7498B973" w14:textId="674308D2" w:rsidR="00546DA8" w:rsidRPr="000A3F00" w:rsidRDefault="001E1210" w:rsidP="00546DA8">
      <w:pPr>
        <w:spacing w:after="120" w:line="259" w:lineRule="auto"/>
        <w:jc w:val="both"/>
        <w:rPr>
          <w:rFonts w:ascii="Calibri" w:eastAsia="Calibri" w:hAnsi="Calibri" w:cs="Calibri"/>
          <w:lang w:val="en-GB"/>
        </w:rPr>
      </w:pPr>
      <w:r w:rsidRPr="000A3F00">
        <w:rPr>
          <w:rFonts w:ascii="Calibri" w:eastAsia="Calibri" w:hAnsi="Calibri" w:cs="Calibri"/>
          <w:lang w:val="en-GB"/>
        </w:rPr>
        <w:t xml:space="preserve">In October 2018, the NCA launched </w:t>
      </w:r>
      <w:r w:rsidR="00546DA8" w:rsidRPr="000A3F00">
        <w:rPr>
          <w:rFonts w:ascii="Calibri" w:eastAsia="Calibri" w:hAnsi="Calibri" w:cs="Calibri"/>
          <w:lang w:val="en-GB"/>
        </w:rPr>
        <w:t xml:space="preserve">the National Economic Crime Centre (NECC) – involving law enforcement and justice agencies, government departments, regulatory bodies and the private sector – to coordinate the UK’s response to economic crime and asset recovery. We are awaiting </w:t>
      </w:r>
      <w:r w:rsidR="009013D3" w:rsidRPr="000A3F00">
        <w:rPr>
          <w:rFonts w:ascii="Calibri" w:eastAsia="Calibri" w:hAnsi="Calibri" w:cs="Calibri"/>
          <w:lang w:val="en-GB"/>
        </w:rPr>
        <w:t xml:space="preserve">a report </w:t>
      </w:r>
      <w:r w:rsidR="00546DA8" w:rsidRPr="000A3F00">
        <w:rPr>
          <w:rFonts w:ascii="Calibri" w:eastAsia="Calibri" w:hAnsi="Calibri" w:cs="Calibri"/>
          <w:lang w:val="en-GB"/>
        </w:rPr>
        <w:t>of how this initiative is progressing.</w:t>
      </w:r>
    </w:p>
    <w:p w14:paraId="52D07447" w14:textId="75DDD9F4" w:rsidR="00546DA8" w:rsidRPr="000A3F00" w:rsidRDefault="00CF5DA9" w:rsidP="00546DA8">
      <w:pPr>
        <w:spacing w:after="120" w:line="259" w:lineRule="auto"/>
        <w:jc w:val="both"/>
        <w:rPr>
          <w:rFonts w:ascii="Calibri" w:eastAsia="Calibri" w:hAnsi="Calibri" w:cs="Calibri"/>
          <w:lang w:val="en-GB"/>
        </w:rPr>
      </w:pPr>
      <w:r w:rsidRPr="000A3F00">
        <w:rPr>
          <w:noProof/>
          <w:lang w:val="en-GB"/>
        </w:rPr>
        <mc:AlternateContent>
          <mc:Choice Requires="wps">
            <w:drawing>
              <wp:anchor distT="0" distB="0" distL="114300" distR="114300" simplePos="0" relativeHeight="251658240" behindDoc="1" locked="0" layoutInCell="1" hidden="0" allowOverlap="1" wp14:anchorId="647753E6" wp14:editId="06699AC5">
                <wp:simplePos x="0" y="0"/>
                <wp:positionH relativeFrom="margin">
                  <wp:posOffset>3660775</wp:posOffset>
                </wp:positionH>
                <wp:positionV relativeFrom="paragraph">
                  <wp:posOffset>935355</wp:posOffset>
                </wp:positionV>
                <wp:extent cx="2066925" cy="3484880"/>
                <wp:effectExtent l="0" t="0" r="28575" b="2032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066925" cy="3484880"/>
                        </a:xfrm>
                        <a:prstGeom prst="rect">
                          <a:avLst/>
                        </a:prstGeom>
                        <a:solidFill>
                          <a:srgbClr val="A5A5A5"/>
                        </a:solidFill>
                        <a:ln w="9525" cap="flat" cmpd="sng">
                          <a:solidFill>
                            <a:srgbClr val="A5A5A5"/>
                          </a:solidFill>
                          <a:prstDash val="solid"/>
                          <a:miter lim="8000"/>
                          <a:headEnd type="none" w="med" len="med"/>
                          <a:tailEnd type="none" w="med" len="med"/>
                        </a:ln>
                      </wps:spPr>
                      <wps:txbx>
                        <w:txbxContent>
                          <w:p w14:paraId="6EAA3087" w14:textId="55FCD194" w:rsidR="00FB46A2" w:rsidRPr="00FB082D" w:rsidRDefault="00B55372" w:rsidP="00BA5DFC">
                            <w:pPr>
                              <w:spacing w:after="120" w:line="257" w:lineRule="auto"/>
                              <w:textDirection w:val="btLr"/>
                              <w:rPr>
                                <w:lang w:val="en-GB"/>
                              </w:rPr>
                            </w:pPr>
                            <w:r>
                              <w:rPr>
                                <w:rFonts w:ascii="Calibri" w:eastAsia="Calibri" w:hAnsi="Calibri" w:cs="Calibri"/>
                                <w:i/>
                                <w:color w:val="FFFFFF"/>
                                <w:sz w:val="20"/>
                                <w:lang w:val="en-GB"/>
                              </w:rPr>
                              <w:t>Case:</w:t>
                            </w:r>
                            <w:r w:rsidRPr="00FB082D">
                              <w:rPr>
                                <w:rFonts w:ascii="Calibri" w:eastAsia="Calibri" w:hAnsi="Calibri" w:cs="Calibri"/>
                                <w:i/>
                                <w:color w:val="FFFFFF"/>
                                <w:sz w:val="20"/>
                                <w:lang w:val="en-GB"/>
                              </w:rPr>
                              <w:t xml:space="preserve"> </w:t>
                            </w:r>
                            <w:r w:rsidR="0011764D">
                              <w:rPr>
                                <w:rFonts w:ascii="Calibri" w:eastAsia="Calibri" w:hAnsi="Calibri" w:cs="Calibri"/>
                                <w:i/>
                                <w:color w:val="FFFFFF"/>
                                <w:sz w:val="20"/>
                                <w:lang w:val="en-GB"/>
                              </w:rPr>
                              <w:t>NCA v Mrs A</w:t>
                            </w:r>
                            <w:r w:rsidRPr="00FB082D">
                              <w:rPr>
                                <w:rFonts w:ascii="Calibri" w:eastAsia="Calibri" w:hAnsi="Calibri" w:cs="Calibri"/>
                                <w:i/>
                                <w:color w:val="FFFFFF"/>
                                <w:sz w:val="20"/>
                                <w:lang w:val="en-GB"/>
                              </w:rPr>
                              <w:t xml:space="preserve"> </w:t>
                            </w:r>
                          </w:p>
                          <w:p w14:paraId="12149FEF" w14:textId="3BDAEB86" w:rsidR="00FB46A2" w:rsidRPr="00BA5DFC" w:rsidRDefault="0011764D">
                            <w:pPr>
                              <w:spacing w:after="160" w:line="256" w:lineRule="auto"/>
                              <w:textDirection w:val="btLr"/>
                              <w:rPr>
                                <w:rFonts w:ascii="Calibri" w:eastAsia="Calibri" w:hAnsi="Calibri" w:cs="Calibri"/>
                                <w:color w:val="FFFFFF"/>
                                <w:sz w:val="20"/>
                                <w:lang w:val="en-GB"/>
                              </w:rPr>
                            </w:pPr>
                            <w:r w:rsidRPr="0011764D">
                              <w:rPr>
                                <w:rFonts w:ascii="Calibri" w:eastAsia="Calibri" w:hAnsi="Calibri" w:cs="Calibri"/>
                                <w:color w:val="FFFFFF"/>
                                <w:sz w:val="20"/>
                                <w:lang w:val="en-GB"/>
                              </w:rPr>
                              <w:t xml:space="preserve">In February 2018, the UK’s National Crime Agency (NCA) announced it had successfully </w:t>
                            </w:r>
                            <w:r w:rsidR="00527280">
                              <w:rPr>
                                <w:rFonts w:ascii="Calibri" w:eastAsia="Calibri" w:hAnsi="Calibri" w:cs="Calibri"/>
                                <w:color w:val="FFFFFF"/>
                                <w:sz w:val="20"/>
                                <w:lang w:val="en-GB"/>
                              </w:rPr>
                              <w:t xml:space="preserve">applied for </w:t>
                            </w:r>
                            <w:r w:rsidRPr="0011764D">
                              <w:rPr>
                                <w:rFonts w:ascii="Calibri" w:eastAsia="Calibri" w:hAnsi="Calibri" w:cs="Calibri"/>
                                <w:color w:val="FFFFFF"/>
                                <w:sz w:val="20"/>
                                <w:lang w:val="en-GB"/>
                              </w:rPr>
                              <w:t>Unexplained Wealth Orders to be issued against two properties worth over £22 million bought with the suspected proceeds of corruption</w:t>
                            </w:r>
                            <w:r w:rsidR="00B55372" w:rsidRPr="00BA5DFC">
                              <w:rPr>
                                <w:rFonts w:ascii="Calibri" w:eastAsia="Calibri" w:hAnsi="Calibri" w:cs="Calibri"/>
                                <w:color w:val="FFFFFF"/>
                                <w:sz w:val="20"/>
                                <w:lang w:val="en-GB"/>
                              </w:rPr>
                              <w:t>.</w:t>
                            </w:r>
                            <w:r w:rsidRPr="00BA5DFC">
                              <w:rPr>
                                <w:rFonts w:ascii="Calibri" w:eastAsia="Calibri" w:hAnsi="Calibri" w:cs="Calibri"/>
                                <w:color w:val="FFFFFF"/>
                                <w:sz w:val="20"/>
                                <w:lang w:val="en-GB"/>
                              </w:rPr>
                              <w:t xml:space="preserve"> In subsequent court hearings, the </w:t>
                            </w:r>
                            <w:r w:rsidR="00527280">
                              <w:rPr>
                                <w:rFonts w:ascii="Calibri" w:eastAsia="Calibri" w:hAnsi="Calibri" w:cs="Calibri"/>
                                <w:color w:val="FFFFFF"/>
                                <w:sz w:val="20"/>
                                <w:lang w:val="en-GB"/>
                              </w:rPr>
                              <w:t>suspected owners of these properties were</w:t>
                            </w:r>
                            <w:r w:rsidRPr="00BA5DFC">
                              <w:rPr>
                                <w:rFonts w:ascii="Calibri" w:eastAsia="Calibri" w:hAnsi="Calibri" w:cs="Calibri"/>
                                <w:color w:val="FFFFFF"/>
                                <w:sz w:val="20"/>
                                <w:lang w:val="en-GB"/>
                              </w:rPr>
                              <w:t xml:space="preserve"> revealed to be Jahangir Hajiyev, the former Chair of the International Bank of Azerbaijan, and his wife Zamira Hajiyeva.</w:t>
                            </w:r>
                            <w:r>
                              <w:rPr>
                                <w:rFonts w:ascii="Calibri" w:eastAsia="Calibri" w:hAnsi="Calibri" w:cs="Calibri"/>
                                <w:color w:val="FFFFFF"/>
                                <w:sz w:val="20"/>
                                <w:lang w:val="en-GB"/>
                              </w:rPr>
                              <w:t xml:space="preserve"> </w:t>
                            </w:r>
                            <w:r w:rsidR="00527280">
                              <w:rPr>
                                <w:rFonts w:ascii="Calibri" w:eastAsia="Calibri" w:hAnsi="Calibri" w:cs="Calibri"/>
                                <w:color w:val="FFFFFF"/>
                                <w:sz w:val="20"/>
                                <w:lang w:val="en-GB"/>
                              </w:rPr>
                              <w:t>As part of its investigation, the NCA has also</w:t>
                            </w:r>
                            <w:r>
                              <w:rPr>
                                <w:rFonts w:ascii="Calibri" w:eastAsia="Calibri" w:hAnsi="Calibri" w:cs="Calibri"/>
                                <w:color w:val="FFFFFF"/>
                                <w:sz w:val="20"/>
                                <w:lang w:val="en-GB"/>
                              </w:rPr>
                              <w:t xml:space="preserve"> seized a ring with a r</w:t>
                            </w:r>
                            <w:r w:rsidR="00527280">
                              <w:rPr>
                                <w:rFonts w:ascii="Calibri" w:eastAsia="Calibri" w:hAnsi="Calibri" w:cs="Calibri"/>
                                <w:color w:val="FFFFFF"/>
                                <w:sz w:val="20"/>
                                <w:lang w:val="en-GB"/>
                              </w:rPr>
                              <w:t>etail value of £1.9 million and</w:t>
                            </w:r>
                            <w:r w:rsidRPr="0011764D">
                              <w:rPr>
                                <w:rFonts w:ascii="Calibri" w:eastAsia="Calibri" w:hAnsi="Calibri" w:cs="Calibri"/>
                                <w:color w:val="FFFFFF"/>
                                <w:sz w:val="20"/>
                                <w:lang w:val="en-GB"/>
                              </w:rPr>
                              <w:t xml:space="preserve"> 49 items of jewellery with a value of more than £400k</w:t>
                            </w:r>
                            <w:r w:rsidR="00527280">
                              <w:rPr>
                                <w:rFonts w:ascii="Calibri" w:eastAsia="Calibri" w:hAnsi="Calibri" w:cs="Calibri"/>
                                <w:color w:val="FFFFFF"/>
                                <w:sz w:val="20"/>
                                <w:lang w:val="en-GB"/>
                              </w:rPr>
                              <w:t>. As of April 2019, the case is still ongoing.</w:t>
                            </w:r>
                          </w:p>
                          <w:p w14:paraId="3C485516" w14:textId="77777777" w:rsidR="00FB46A2" w:rsidRDefault="00FB46A2">
                            <w:pPr>
                              <w:spacing w:after="160" w:line="256" w:lineRule="auto"/>
                              <w:textDirection w:val="btLr"/>
                            </w:pPr>
                          </w:p>
                          <w:p w14:paraId="3DF50ED9" w14:textId="77777777" w:rsidR="00FB46A2" w:rsidRDefault="00FB46A2">
                            <w:pPr>
                              <w:spacing w:after="160" w:line="256" w:lineRule="auto"/>
                              <w:textDirection w:val="btLr"/>
                            </w:pPr>
                          </w:p>
                          <w:p w14:paraId="7D477D36" w14:textId="77777777" w:rsidR="00FB46A2" w:rsidRDefault="00FB46A2">
                            <w:pPr>
                              <w:spacing w:after="160" w:line="258"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47753E6" id="Rectangle 5" o:spid="_x0000_s1026" style="position:absolute;left:0;text-align:left;margin-left:288.25pt;margin-top:73.65pt;width:162.75pt;height:274.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" fillcolor="#a5a5a5" strokecolor="#a5a5a5">
                <v:stroke miterlimit="5243f"/>
                <v:textbox inset="2.53958mm,1.2694mm,2.53958mm,1.2694mm">
                  <w:txbxContent>
                    <w:p w14:paraId="6EAA3087" w14:textId="55FCD194" w:rsidR="00FB46A2" w:rsidRPr="00FB082D" w:rsidRDefault="00B55372" w:rsidP="00BA5DFC">
                      <w:pPr>
                        <w:spacing w:after="120" w:line="257" w:lineRule="auto"/>
                        <w:textDirection w:val="btLr"/>
                        <w:rPr>
                          <w:lang w:val="en-GB"/>
                        </w:rPr>
                      </w:pPr>
                      <w:r>
                        <w:rPr>
                          <w:rFonts w:ascii="Calibri" w:eastAsia="Calibri" w:hAnsi="Calibri" w:cs="Calibri"/>
                          <w:i/>
                          <w:color w:val="FFFFFF"/>
                          <w:sz w:val="20"/>
                          <w:lang w:val="en-GB"/>
                        </w:rPr>
                        <w:t>Case:</w:t>
                      </w:r>
                      <w:r w:rsidRPr="00FB082D">
                        <w:rPr>
                          <w:rFonts w:ascii="Calibri" w:eastAsia="Calibri" w:hAnsi="Calibri" w:cs="Calibri"/>
                          <w:i/>
                          <w:color w:val="FFFFFF"/>
                          <w:sz w:val="20"/>
                          <w:lang w:val="en-GB"/>
                        </w:rPr>
                        <w:t xml:space="preserve"> </w:t>
                      </w:r>
                      <w:r w:rsidR="0011764D">
                        <w:rPr>
                          <w:rFonts w:ascii="Calibri" w:eastAsia="Calibri" w:hAnsi="Calibri" w:cs="Calibri"/>
                          <w:i/>
                          <w:color w:val="FFFFFF"/>
                          <w:sz w:val="20"/>
                          <w:lang w:val="en-GB"/>
                        </w:rPr>
                        <w:t>NCA v Mrs A</w:t>
                      </w:r>
                      <w:r w:rsidRPr="00FB082D">
                        <w:rPr>
                          <w:rFonts w:ascii="Calibri" w:eastAsia="Calibri" w:hAnsi="Calibri" w:cs="Calibri"/>
                          <w:i/>
                          <w:color w:val="FFFFFF"/>
                          <w:sz w:val="20"/>
                          <w:lang w:val="en-GB"/>
                        </w:rPr>
                        <w:t xml:space="preserve"> </w:t>
                      </w:r>
                    </w:p>
                    <w:p w14:paraId="12149FEF" w14:textId="3BDAEB86" w:rsidR="00FB46A2" w:rsidRPr="00BA5DFC" w:rsidRDefault="0011764D">
                      <w:pPr>
                        <w:spacing w:after="160" w:line="256" w:lineRule="auto"/>
                        <w:textDirection w:val="btLr"/>
                        <w:rPr>
                          <w:rFonts w:ascii="Calibri" w:eastAsia="Calibri" w:hAnsi="Calibri" w:cs="Calibri"/>
                          <w:color w:val="FFFFFF"/>
                          <w:sz w:val="20"/>
                          <w:lang w:val="en-GB"/>
                        </w:rPr>
                      </w:pPr>
                      <w:r w:rsidRPr="0011764D">
                        <w:rPr>
                          <w:rFonts w:ascii="Calibri" w:eastAsia="Calibri" w:hAnsi="Calibri" w:cs="Calibri"/>
                          <w:color w:val="FFFFFF"/>
                          <w:sz w:val="20"/>
                          <w:lang w:val="en-GB"/>
                        </w:rPr>
                        <w:t xml:space="preserve">In February 2018, the UK’s National Crime Agency (NCA) announced it had successfully </w:t>
                      </w:r>
                      <w:r w:rsidR="00527280">
                        <w:rPr>
                          <w:rFonts w:ascii="Calibri" w:eastAsia="Calibri" w:hAnsi="Calibri" w:cs="Calibri"/>
                          <w:color w:val="FFFFFF"/>
                          <w:sz w:val="20"/>
                          <w:lang w:val="en-GB"/>
                        </w:rPr>
                        <w:t xml:space="preserve">applied for </w:t>
                      </w:r>
                      <w:r w:rsidRPr="0011764D">
                        <w:rPr>
                          <w:rFonts w:ascii="Calibri" w:eastAsia="Calibri" w:hAnsi="Calibri" w:cs="Calibri"/>
                          <w:color w:val="FFFFFF"/>
                          <w:sz w:val="20"/>
                          <w:lang w:val="en-GB"/>
                        </w:rPr>
                        <w:t>Unexplained Wealth Orders to be issued against two properties worth over £22 million bought with the suspected proceeds of corruption</w:t>
                      </w:r>
                      <w:r w:rsidR="00B55372" w:rsidRPr="00BA5DFC">
                        <w:rPr>
                          <w:rFonts w:ascii="Calibri" w:eastAsia="Calibri" w:hAnsi="Calibri" w:cs="Calibri"/>
                          <w:color w:val="FFFFFF"/>
                          <w:sz w:val="20"/>
                          <w:lang w:val="en-GB"/>
                        </w:rPr>
                        <w:t>.</w:t>
                      </w:r>
                      <w:r w:rsidRPr="00BA5DFC">
                        <w:rPr>
                          <w:rFonts w:ascii="Calibri" w:eastAsia="Calibri" w:hAnsi="Calibri" w:cs="Calibri"/>
                          <w:color w:val="FFFFFF"/>
                          <w:sz w:val="20"/>
                          <w:lang w:val="en-GB"/>
                        </w:rPr>
                        <w:t xml:space="preserve"> In subsequent court hearings, the </w:t>
                      </w:r>
                      <w:r w:rsidR="00527280">
                        <w:rPr>
                          <w:rFonts w:ascii="Calibri" w:eastAsia="Calibri" w:hAnsi="Calibri" w:cs="Calibri"/>
                          <w:color w:val="FFFFFF"/>
                          <w:sz w:val="20"/>
                          <w:lang w:val="en-GB"/>
                        </w:rPr>
                        <w:t>suspected owners of these properties were</w:t>
                      </w:r>
                      <w:r w:rsidRPr="00BA5DFC">
                        <w:rPr>
                          <w:rFonts w:ascii="Calibri" w:eastAsia="Calibri" w:hAnsi="Calibri" w:cs="Calibri"/>
                          <w:color w:val="FFFFFF"/>
                          <w:sz w:val="20"/>
                          <w:lang w:val="en-GB"/>
                        </w:rPr>
                        <w:t xml:space="preserve"> revealed to be Jahangir Hajiyev, the former Chair of the International Bank of Azerbaijan, and his wife Zamira Hajiyeva.</w:t>
                      </w:r>
                      <w:r>
                        <w:rPr>
                          <w:rFonts w:ascii="Calibri" w:eastAsia="Calibri" w:hAnsi="Calibri" w:cs="Calibri"/>
                          <w:color w:val="FFFFFF"/>
                          <w:sz w:val="20"/>
                          <w:lang w:val="en-GB"/>
                        </w:rPr>
                        <w:t xml:space="preserve"> </w:t>
                      </w:r>
                      <w:r w:rsidR="00527280">
                        <w:rPr>
                          <w:rFonts w:ascii="Calibri" w:eastAsia="Calibri" w:hAnsi="Calibri" w:cs="Calibri"/>
                          <w:color w:val="FFFFFF"/>
                          <w:sz w:val="20"/>
                          <w:lang w:val="en-GB"/>
                        </w:rPr>
                        <w:t>As part of its investigation, the NCA has also</w:t>
                      </w:r>
                      <w:r>
                        <w:rPr>
                          <w:rFonts w:ascii="Calibri" w:eastAsia="Calibri" w:hAnsi="Calibri" w:cs="Calibri"/>
                          <w:color w:val="FFFFFF"/>
                          <w:sz w:val="20"/>
                          <w:lang w:val="en-GB"/>
                        </w:rPr>
                        <w:t xml:space="preserve"> seized a ring with a r</w:t>
                      </w:r>
                      <w:r w:rsidR="00527280">
                        <w:rPr>
                          <w:rFonts w:ascii="Calibri" w:eastAsia="Calibri" w:hAnsi="Calibri" w:cs="Calibri"/>
                          <w:color w:val="FFFFFF"/>
                          <w:sz w:val="20"/>
                          <w:lang w:val="en-GB"/>
                        </w:rPr>
                        <w:t>etail value of £1.9 million and</w:t>
                      </w:r>
                      <w:r w:rsidRPr="0011764D">
                        <w:rPr>
                          <w:rFonts w:ascii="Calibri" w:eastAsia="Calibri" w:hAnsi="Calibri" w:cs="Calibri"/>
                          <w:color w:val="FFFFFF"/>
                          <w:sz w:val="20"/>
                          <w:lang w:val="en-GB"/>
                        </w:rPr>
                        <w:t xml:space="preserve"> 49 items of jewellery with a value of more than £400k</w:t>
                      </w:r>
                      <w:r w:rsidR="00527280">
                        <w:rPr>
                          <w:rFonts w:ascii="Calibri" w:eastAsia="Calibri" w:hAnsi="Calibri" w:cs="Calibri"/>
                          <w:color w:val="FFFFFF"/>
                          <w:sz w:val="20"/>
                          <w:lang w:val="en-GB"/>
                        </w:rPr>
                        <w:t>. As of April 2019, the case is still ongoing.</w:t>
                      </w:r>
                    </w:p>
                    <w:p w14:paraId="3C485516" w14:textId="77777777" w:rsidR="00FB46A2" w:rsidRDefault="00FB46A2">
                      <w:pPr>
                        <w:spacing w:after="160" w:line="256" w:lineRule="auto"/>
                        <w:textDirection w:val="btLr"/>
                      </w:pPr>
                    </w:p>
                    <w:p w14:paraId="3DF50ED9" w14:textId="77777777" w:rsidR="00FB46A2" w:rsidRDefault="00FB46A2">
                      <w:pPr>
                        <w:spacing w:after="160" w:line="256" w:lineRule="auto"/>
                        <w:textDirection w:val="btLr"/>
                      </w:pPr>
                    </w:p>
                    <w:p w14:paraId="7D477D36" w14:textId="77777777" w:rsidR="00FB46A2" w:rsidRDefault="00FB46A2">
                      <w:pPr>
                        <w:spacing w:after="160" w:line="258" w:lineRule="auto"/>
                        <w:textDirection w:val="btLr"/>
                      </w:pPr>
                    </w:p>
                  </w:txbxContent>
                </v:textbox>
                <w10:wrap type="square" anchorx="margin"/>
              </v:rect>
            </w:pict>
          </mc:Fallback>
        </mc:AlternateContent>
      </w:r>
      <w:r w:rsidR="00546DA8" w:rsidRPr="000A3F00">
        <w:rPr>
          <w:rFonts w:ascii="Calibri" w:eastAsia="Calibri" w:hAnsi="Calibri" w:cs="Calibri"/>
          <w:lang w:val="en-GB"/>
        </w:rPr>
        <w:t>The International Anti-Corruption Coordination Centre (IACCC) – a multi-jurisdiction intelligence sharing initiative focussed on corruption cases and based in the NCA – published its first annual report, which included support to progress nine grand corruption cases and identifying and disseminating intelligence on 227 suspicious bank accounts across 15 different jurisdictions.</w:t>
      </w:r>
      <w:r w:rsidR="00546DA8" w:rsidRPr="000A3F00">
        <w:rPr>
          <w:rStyle w:val="FootnoteReference"/>
          <w:rFonts w:eastAsia="Calibri" w:cs="Calibri"/>
          <w:sz w:val="22"/>
          <w:lang w:val="en-GB"/>
        </w:rPr>
        <w:footnoteReference w:id="3"/>
      </w:r>
      <w:r w:rsidR="009013D3" w:rsidRPr="000A3F00">
        <w:rPr>
          <w:rFonts w:ascii="Calibri" w:eastAsia="Calibri" w:hAnsi="Calibri" w:cs="Calibri"/>
          <w:lang w:val="en-GB"/>
        </w:rPr>
        <w:t xml:space="preserve"> We are monitoring how this performance changes over time.</w:t>
      </w:r>
    </w:p>
    <w:p w14:paraId="3D131019" w14:textId="36CA4DB7" w:rsidR="00C848E0" w:rsidRPr="000A3F00" w:rsidRDefault="009013D3" w:rsidP="00BA5DFC">
      <w:pPr>
        <w:spacing w:after="120" w:line="259" w:lineRule="auto"/>
        <w:jc w:val="both"/>
        <w:rPr>
          <w:rFonts w:ascii="Calibri" w:eastAsia="Calibri" w:hAnsi="Calibri" w:cs="Calibri"/>
          <w:lang w:val="en-GB"/>
        </w:rPr>
      </w:pPr>
      <w:r w:rsidRPr="000A3F00">
        <w:rPr>
          <w:rFonts w:ascii="Calibri" w:eastAsia="Calibri" w:hAnsi="Calibri" w:cs="Calibri"/>
          <w:lang w:val="en-GB"/>
        </w:rPr>
        <w:t xml:space="preserve">In early 2018, two key civil recovery </w:t>
      </w:r>
      <w:r w:rsidR="00ED4565" w:rsidRPr="000A3F00">
        <w:rPr>
          <w:rFonts w:ascii="Calibri" w:eastAsia="Calibri" w:hAnsi="Calibri" w:cs="Calibri"/>
          <w:lang w:val="en-GB"/>
        </w:rPr>
        <w:t>measures</w:t>
      </w:r>
      <w:r w:rsidRPr="000A3F00">
        <w:rPr>
          <w:rFonts w:ascii="Calibri" w:eastAsia="Calibri" w:hAnsi="Calibri" w:cs="Calibri"/>
          <w:lang w:val="en-GB"/>
        </w:rPr>
        <w:t xml:space="preserve"> </w:t>
      </w:r>
      <w:r w:rsidR="00CF5DA9">
        <w:rPr>
          <w:rFonts w:ascii="Calibri" w:eastAsia="Calibri" w:hAnsi="Calibri" w:cs="Calibri"/>
          <w:lang w:val="en-GB"/>
        </w:rPr>
        <w:t>commenced</w:t>
      </w:r>
      <w:r w:rsidRPr="000A3F00">
        <w:rPr>
          <w:rFonts w:ascii="Calibri" w:eastAsia="Calibri" w:hAnsi="Calibri" w:cs="Calibri"/>
          <w:lang w:val="en-GB"/>
        </w:rPr>
        <w:t xml:space="preserve">, which </w:t>
      </w:r>
      <w:r w:rsidR="00FC1B62">
        <w:rPr>
          <w:rFonts w:ascii="Calibri" w:eastAsia="Calibri" w:hAnsi="Calibri" w:cs="Calibri"/>
          <w:lang w:val="en-GB"/>
        </w:rPr>
        <w:t xml:space="preserve">are intended to </w:t>
      </w:r>
      <w:r w:rsidR="00ED4565" w:rsidRPr="000A3F00">
        <w:rPr>
          <w:rFonts w:ascii="Calibri" w:eastAsia="Calibri" w:hAnsi="Calibri" w:cs="Calibri"/>
          <w:lang w:val="en-GB"/>
        </w:rPr>
        <w:t>make it easier to freeze, seize</w:t>
      </w:r>
      <w:r w:rsidR="00C848E0" w:rsidRPr="000A3F00">
        <w:rPr>
          <w:rFonts w:ascii="Calibri" w:eastAsia="Calibri" w:hAnsi="Calibri" w:cs="Calibri"/>
          <w:lang w:val="en-GB"/>
        </w:rPr>
        <w:t xml:space="preserve"> and repatriate corrupt assets. In the past, the system has relied too much on the capability of other countries to convict individuals and cooperate with UK law enforcement</w:t>
      </w:r>
      <w:r w:rsidR="006838C4">
        <w:rPr>
          <w:rFonts w:ascii="Calibri" w:eastAsia="Calibri" w:hAnsi="Calibri" w:cs="Calibri"/>
          <w:lang w:val="en-GB"/>
        </w:rPr>
        <w:t xml:space="preserve"> agencies</w:t>
      </w:r>
      <w:r w:rsidR="00C848E0" w:rsidRPr="000A3F00">
        <w:rPr>
          <w:rFonts w:ascii="Calibri" w:eastAsia="Calibri" w:hAnsi="Calibri" w:cs="Calibri"/>
          <w:lang w:val="en-GB"/>
        </w:rPr>
        <w:t>, which has inhibited the successful recovery of corrupt assets. The introduction o</w:t>
      </w:r>
      <w:r w:rsidR="006838C4">
        <w:rPr>
          <w:rFonts w:ascii="Calibri" w:eastAsia="Calibri" w:hAnsi="Calibri" w:cs="Calibri"/>
          <w:lang w:val="en-GB"/>
        </w:rPr>
        <w:t xml:space="preserve">f </w:t>
      </w:r>
      <w:r w:rsidR="00C848E0" w:rsidRPr="000A3F00">
        <w:rPr>
          <w:rFonts w:ascii="Calibri" w:eastAsia="Calibri" w:hAnsi="Calibri" w:cs="Calibri"/>
          <w:lang w:val="en-GB"/>
        </w:rPr>
        <w:t xml:space="preserve">UWOs in early 2018 – an investigatory power which requires the respondent to a UWO to demonstrate the legitimate source of their wealth – alongside new powers to help seek forfeiture of suspected corrupt wealth from bank accounts </w:t>
      </w:r>
      <w:r w:rsidR="006838C4">
        <w:rPr>
          <w:rFonts w:ascii="Calibri" w:eastAsia="Calibri" w:hAnsi="Calibri" w:cs="Calibri"/>
          <w:lang w:val="en-GB"/>
        </w:rPr>
        <w:t>(AFOs)</w:t>
      </w:r>
      <w:r w:rsidR="00C848E0" w:rsidRPr="000A3F00">
        <w:rPr>
          <w:rFonts w:ascii="Calibri" w:eastAsia="Calibri" w:hAnsi="Calibri" w:cs="Calibri"/>
          <w:lang w:val="en-GB"/>
        </w:rPr>
        <w:t xml:space="preserve"> should help improve rates of successful asset recovery.</w:t>
      </w:r>
      <w:r w:rsidR="00C848E0" w:rsidRPr="000A3F00">
        <w:rPr>
          <w:vertAlign w:val="superscript"/>
        </w:rPr>
        <w:footnoteReference w:id="4"/>
      </w:r>
    </w:p>
    <w:p w14:paraId="062FC2BB" w14:textId="32B3F6E2" w:rsidR="009013D3" w:rsidRPr="000A3F00" w:rsidRDefault="009013D3" w:rsidP="00BA5DFC">
      <w:pPr>
        <w:spacing w:after="120" w:line="259" w:lineRule="auto"/>
        <w:jc w:val="both"/>
        <w:rPr>
          <w:rFonts w:ascii="Calibri" w:eastAsia="Calibri" w:hAnsi="Calibri" w:cs="Calibri"/>
          <w:lang w:val="en-GB"/>
        </w:rPr>
      </w:pPr>
      <w:r w:rsidRPr="000A3F00">
        <w:rPr>
          <w:rFonts w:ascii="Calibri" w:eastAsia="Calibri" w:hAnsi="Calibri" w:cs="Calibri"/>
          <w:lang w:val="en-GB"/>
        </w:rPr>
        <w:lastRenderedPageBreak/>
        <w:t>So far, law enforcement agencies have reported using:</w:t>
      </w:r>
    </w:p>
    <w:p w14:paraId="759C801C" w14:textId="762DC5ED" w:rsidR="009013D3" w:rsidRPr="000A3F00" w:rsidRDefault="001C109A" w:rsidP="009013D3">
      <w:pPr>
        <w:pStyle w:val="ListParagraph"/>
        <w:numPr>
          <w:ilvl w:val="0"/>
          <w:numId w:val="5"/>
        </w:numPr>
        <w:spacing w:after="120" w:line="259" w:lineRule="auto"/>
        <w:jc w:val="both"/>
        <w:rPr>
          <w:rFonts w:ascii="Calibri" w:eastAsia="Calibri" w:hAnsi="Calibri" w:cs="Calibri"/>
          <w:lang w:val="en-GB"/>
        </w:rPr>
      </w:pPr>
      <w:r w:rsidRPr="000A3F00">
        <w:rPr>
          <w:rFonts w:ascii="Calibri" w:eastAsia="Calibri" w:hAnsi="Calibri" w:cs="Calibri"/>
          <w:lang w:val="en-GB"/>
        </w:rPr>
        <w:t>AFOs</w:t>
      </w:r>
      <w:r w:rsidR="009013D3" w:rsidRPr="000A3F00">
        <w:rPr>
          <w:rFonts w:ascii="Calibri" w:eastAsia="Calibri" w:hAnsi="Calibri" w:cs="Calibri"/>
          <w:lang w:val="en-GB"/>
        </w:rPr>
        <w:t xml:space="preserve"> against </w:t>
      </w:r>
      <w:r w:rsidRPr="000A3F00">
        <w:rPr>
          <w:rFonts w:ascii="Calibri" w:eastAsia="Calibri" w:hAnsi="Calibri" w:cs="Calibri"/>
          <w:lang w:val="en-GB"/>
        </w:rPr>
        <w:t xml:space="preserve">accounts totalling </w:t>
      </w:r>
      <w:r w:rsidR="009013D3" w:rsidRPr="000A3F00">
        <w:rPr>
          <w:rFonts w:ascii="Calibri" w:eastAsia="Calibri" w:hAnsi="Calibri" w:cs="Calibri"/>
          <w:lang w:val="en-GB"/>
        </w:rPr>
        <w:t>over £</w:t>
      </w:r>
      <w:r w:rsidR="00CF5DA9">
        <w:rPr>
          <w:rFonts w:ascii="Calibri" w:eastAsia="Calibri" w:hAnsi="Calibri" w:cs="Calibri"/>
          <w:lang w:val="en-GB"/>
        </w:rPr>
        <w:t>140</w:t>
      </w:r>
      <w:r w:rsidR="009013D3" w:rsidRPr="000A3F00">
        <w:rPr>
          <w:rFonts w:ascii="Calibri" w:eastAsia="Calibri" w:hAnsi="Calibri" w:cs="Calibri"/>
          <w:lang w:val="en-GB"/>
        </w:rPr>
        <w:t xml:space="preserve"> million</w:t>
      </w:r>
    </w:p>
    <w:p w14:paraId="04641E47" w14:textId="37FCBA27" w:rsidR="009013D3" w:rsidRPr="000A3F00" w:rsidRDefault="00CF5DA9" w:rsidP="009013D3">
      <w:pPr>
        <w:pStyle w:val="ListParagraph"/>
        <w:numPr>
          <w:ilvl w:val="0"/>
          <w:numId w:val="5"/>
        </w:numPr>
        <w:spacing w:after="120" w:line="259" w:lineRule="auto"/>
        <w:jc w:val="both"/>
        <w:rPr>
          <w:rFonts w:ascii="Calibri" w:eastAsia="Calibri" w:hAnsi="Calibri" w:cs="Calibri"/>
          <w:lang w:val="en-GB"/>
        </w:rPr>
      </w:pPr>
      <w:r>
        <w:rPr>
          <w:rFonts w:ascii="Calibri" w:eastAsia="Calibri" w:hAnsi="Calibri" w:cs="Calibri"/>
          <w:lang w:val="en-GB"/>
        </w:rPr>
        <w:t>At least f</w:t>
      </w:r>
      <w:r w:rsidR="001C109A" w:rsidRPr="000A3F00">
        <w:rPr>
          <w:rFonts w:ascii="Calibri" w:eastAsia="Calibri" w:hAnsi="Calibri" w:cs="Calibri"/>
          <w:lang w:val="en-GB"/>
        </w:rPr>
        <w:t>ive</w:t>
      </w:r>
      <w:r w:rsidR="009013D3" w:rsidRPr="000A3F00">
        <w:rPr>
          <w:rFonts w:ascii="Calibri" w:eastAsia="Calibri" w:hAnsi="Calibri" w:cs="Calibri"/>
          <w:lang w:val="en-GB"/>
        </w:rPr>
        <w:t xml:space="preserve"> </w:t>
      </w:r>
      <w:r w:rsidR="001C109A" w:rsidRPr="000A3F00">
        <w:rPr>
          <w:rFonts w:ascii="Calibri" w:eastAsia="Calibri" w:hAnsi="Calibri" w:cs="Calibri"/>
          <w:lang w:val="en-GB"/>
        </w:rPr>
        <w:t>UWOs</w:t>
      </w:r>
      <w:r w:rsidR="009013D3" w:rsidRPr="000A3F00">
        <w:rPr>
          <w:rFonts w:ascii="Calibri" w:eastAsia="Calibri" w:hAnsi="Calibri" w:cs="Calibri"/>
          <w:lang w:val="en-GB"/>
        </w:rPr>
        <w:t xml:space="preserve"> against </w:t>
      </w:r>
      <w:r w:rsidR="001C109A" w:rsidRPr="000A3F00">
        <w:rPr>
          <w:rFonts w:ascii="Calibri" w:eastAsia="Calibri" w:hAnsi="Calibri" w:cs="Calibri"/>
          <w:lang w:val="en-GB"/>
        </w:rPr>
        <w:t xml:space="preserve">assets worth </w:t>
      </w:r>
      <w:r w:rsidR="009013D3" w:rsidRPr="000A3F00">
        <w:rPr>
          <w:rFonts w:ascii="Calibri" w:eastAsia="Calibri" w:hAnsi="Calibri" w:cs="Calibri"/>
          <w:lang w:val="en-GB"/>
        </w:rPr>
        <w:t>over £102 million</w:t>
      </w:r>
    </w:p>
    <w:p w14:paraId="491E1BD2" w14:textId="790C60AC" w:rsidR="00824C74" w:rsidRPr="00CF5DA9" w:rsidRDefault="00824C74" w:rsidP="00BA5DFC">
      <w:pPr>
        <w:spacing w:after="120" w:line="259" w:lineRule="auto"/>
        <w:jc w:val="both"/>
        <w:rPr>
          <w:rFonts w:ascii="Calibri" w:eastAsia="Calibri" w:hAnsi="Calibri" w:cs="Calibri"/>
          <w:lang w:val="en-GB"/>
        </w:rPr>
      </w:pPr>
      <w:r w:rsidRPr="000A3F00">
        <w:rPr>
          <w:rFonts w:ascii="Calibri" w:eastAsia="Calibri" w:hAnsi="Calibri" w:cs="Calibri"/>
          <w:lang w:val="en-GB"/>
        </w:rPr>
        <w:t xml:space="preserve">The Home Office reports that law enforcement agencies have used more than 650 AFOs during 2018-19 against £110 million in suspect accounts; however, it does not disaggregate these figures to show whether this is the proceeds of </w:t>
      </w:r>
      <w:r w:rsidRPr="00CF5DA9">
        <w:rPr>
          <w:rFonts w:ascii="Calibri" w:eastAsia="Calibri" w:hAnsi="Calibri" w:cs="Calibri"/>
          <w:lang w:val="en-GB"/>
        </w:rPr>
        <w:t>corruption or domestic serious and organised crime.</w:t>
      </w:r>
      <w:r w:rsidRPr="00CF5DA9">
        <w:rPr>
          <w:rStyle w:val="FootnoteReference"/>
          <w:rFonts w:eastAsia="Calibri" w:cs="Calibri"/>
          <w:sz w:val="22"/>
          <w:lang w:val="en-GB"/>
        </w:rPr>
        <w:footnoteReference w:id="5"/>
      </w:r>
    </w:p>
    <w:p w14:paraId="23B19CBC" w14:textId="5255A0C8" w:rsidR="00C41D81" w:rsidRPr="00CF5DA9" w:rsidRDefault="00E63020" w:rsidP="00BA5DFC">
      <w:pPr>
        <w:spacing w:after="120" w:line="259" w:lineRule="auto"/>
        <w:jc w:val="both"/>
        <w:rPr>
          <w:rFonts w:ascii="Calibri" w:eastAsia="Calibri" w:hAnsi="Calibri" w:cs="Calibri"/>
          <w:lang w:val="en-GB"/>
        </w:rPr>
      </w:pPr>
      <w:r w:rsidRPr="00CF5DA9">
        <w:rPr>
          <w:rFonts w:ascii="Calibri" w:eastAsia="Calibri" w:hAnsi="Calibri" w:cs="Calibri"/>
          <w:lang w:val="en-GB"/>
        </w:rPr>
        <w:t>There is less to report regarding criminal prosecutions and confiscation of corrupt wealth</w:t>
      </w:r>
      <w:r w:rsidR="00D972A7" w:rsidRPr="00CF5DA9">
        <w:rPr>
          <w:rFonts w:ascii="Calibri" w:eastAsia="Calibri" w:hAnsi="Calibri" w:cs="Calibri"/>
          <w:lang w:val="en-GB"/>
        </w:rPr>
        <w:t xml:space="preserve">. The main criminal case </w:t>
      </w:r>
      <w:r w:rsidRPr="00CF5DA9">
        <w:rPr>
          <w:rFonts w:ascii="Calibri" w:eastAsia="Calibri" w:hAnsi="Calibri" w:cs="Calibri"/>
          <w:lang w:val="en-GB"/>
        </w:rPr>
        <w:t>still relates to the former Nigerian Governor, James Ibori, who has now expended all legal avenues for appeal against his conviction</w:t>
      </w:r>
      <w:r w:rsidR="00D972A7" w:rsidRPr="00CF5DA9">
        <w:rPr>
          <w:rFonts w:ascii="Calibri" w:eastAsia="Calibri" w:hAnsi="Calibri" w:cs="Calibri"/>
          <w:lang w:val="en-GB"/>
        </w:rPr>
        <w:t xml:space="preserve"> in the UK</w:t>
      </w:r>
      <w:r w:rsidRPr="00CF5DA9">
        <w:rPr>
          <w:rFonts w:ascii="Calibri" w:eastAsia="Calibri" w:hAnsi="Calibri" w:cs="Calibri"/>
          <w:lang w:val="en-GB"/>
        </w:rPr>
        <w:t>.</w:t>
      </w:r>
      <w:r w:rsidRPr="00CF5DA9">
        <w:rPr>
          <w:rStyle w:val="FootnoteReference"/>
          <w:rFonts w:eastAsia="Calibri" w:cs="Calibri"/>
          <w:sz w:val="22"/>
          <w:lang w:val="en-GB"/>
        </w:rPr>
        <w:footnoteReference w:id="6"/>
      </w:r>
      <w:r w:rsidRPr="00CF5DA9">
        <w:rPr>
          <w:rFonts w:ascii="Calibri" w:eastAsia="Calibri" w:hAnsi="Calibri" w:cs="Calibri"/>
          <w:lang w:val="en-GB"/>
        </w:rPr>
        <w:t xml:space="preserve"> As of 6 September 2019, confiscation proceedings against his assets were still ongoing.</w:t>
      </w:r>
      <w:r w:rsidRPr="00CF5DA9">
        <w:rPr>
          <w:rStyle w:val="FootnoteReference"/>
          <w:rFonts w:eastAsia="Calibri" w:cs="Calibri"/>
          <w:sz w:val="22"/>
          <w:lang w:val="en-GB"/>
        </w:rPr>
        <w:footnoteReference w:id="7"/>
      </w:r>
    </w:p>
    <w:p w14:paraId="6AE5ADA7" w14:textId="45DF08B6" w:rsidR="00E63020" w:rsidRPr="000A3F00" w:rsidRDefault="00562D0E" w:rsidP="00BA5DFC">
      <w:pPr>
        <w:spacing w:after="120" w:line="259" w:lineRule="auto"/>
        <w:jc w:val="both"/>
        <w:rPr>
          <w:rFonts w:ascii="Calibri" w:eastAsia="Calibri" w:hAnsi="Calibri" w:cs="Calibri"/>
          <w:lang w:val="en-GB"/>
        </w:rPr>
      </w:pPr>
      <w:r w:rsidRPr="00CF5DA9">
        <w:rPr>
          <w:rFonts w:ascii="Calibri" w:eastAsia="Calibri" w:hAnsi="Calibri" w:cs="Calibri"/>
          <w:lang w:val="en-GB"/>
        </w:rPr>
        <w:t>UK law enforcement officers arrested</w:t>
      </w:r>
      <w:r w:rsidR="00C41D81" w:rsidRPr="00CF5DA9">
        <w:rPr>
          <w:rFonts w:ascii="Calibri" w:eastAsia="Calibri" w:hAnsi="Calibri" w:cs="Calibri"/>
          <w:lang w:val="en-GB"/>
        </w:rPr>
        <w:t xml:space="preserve"> former Nigerian oil minister</w:t>
      </w:r>
      <w:r w:rsidR="00C41D81" w:rsidRPr="000A3F00">
        <w:rPr>
          <w:rFonts w:ascii="Calibri" w:eastAsia="Calibri" w:hAnsi="Calibri" w:cs="Calibri"/>
          <w:lang w:val="en-GB"/>
        </w:rPr>
        <w:t>, Diezani Alison-Madueke</w:t>
      </w:r>
      <w:r w:rsidRPr="000A3F00">
        <w:rPr>
          <w:rFonts w:ascii="Calibri" w:eastAsia="Calibri" w:hAnsi="Calibri" w:cs="Calibri"/>
          <w:lang w:val="en-GB"/>
        </w:rPr>
        <w:t xml:space="preserve">, </w:t>
      </w:r>
      <w:r w:rsidR="00C41D81" w:rsidRPr="000A3F00">
        <w:rPr>
          <w:rFonts w:ascii="Calibri" w:eastAsia="Calibri" w:hAnsi="Calibri" w:cs="Calibri"/>
          <w:lang w:val="en-GB"/>
        </w:rPr>
        <w:t>in London back in</w:t>
      </w:r>
      <w:r w:rsidRPr="000A3F00">
        <w:rPr>
          <w:rFonts w:ascii="Calibri" w:eastAsia="Calibri" w:hAnsi="Calibri" w:cs="Calibri"/>
          <w:lang w:val="en-GB"/>
        </w:rPr>
        <w:t xml:space="preserve"> 2015 on corruption charges</w:t>
      </w:r>
      <w:r w:rsidR="00C41D81" w:rsidRPr="000A3F00">
        <w:rPr>
          <w:rFonts w:ascii="Calibri" w:eastAsia="Calibri" w:hAnsi="Calibri" w:cs="Calibri"/>
          <w:lang w:val="en-GB"/>
        </w:rPr>
        <w:t>. UK law enforcement agencies are yet to announce formal charges against her and her associates.</w:t>
      </w:r>
    </w:p>
    <w:p w14:paraId="0ECAA2E0" w14:textId="63BFFD89" w:rsidR="00ED4565" w:rsidRPr="000A3F00" w:rsidRDefault="00C41D81" w:rsidP="00BA5DFC">
      <w:pPr>
        <w:spacing w:after="120" w:line="259" w:lineRule="auto"/>
        <w:jc w:val="both"/>
        <w:rPr>
          <w:rFonts w:ascii="Calibri" w:eastAsia="Calibri" w:hAnsi="Calibri" w:cs="Calibri"/>
          <w:lang w:val="en-GB"/>
        </w:rPr>
      </w:pPr>
      <w:r w:rsidRPr="000A3F00">
        <w:rPr>
          <w:rFonts w:ascii="Calibri" w:eastAsia="Calibri" w:hAnsi="Calibri" w:cs="Calibri"/>
          <w:lang w:val="en-GB"/>
        </w:rPr>
        <w:t>D</w:t>
      </w:r>
      <w:r w:rsidR="00ED4565" w:rsidRPr="000A3F00">
        <w:rPr>
          <w:rFonts w:ascii="Calibri" w:eastAsia="Calibri" w:hAnsi="Calibri" w:cs="Calibri"/>
          <w:lang w:val="en-GB"/>
        </w:rPr>
        <w:t>espite increased political will to improve asset</w:t>
      </w:r>
      <w:r w:rsidR="001C109A" w:rsidRPr="000A3F00">
        <w:rPr>
          <w:rFonts w:ascii="Calibri" w:eastAsia="Calibri" w:hAnsi="Calibri" w:cs="Calibri"/>
          <w:lang w:val="en-GB"/>
        </w:rPr>
        <w:t xml:space="preserve"> recovery in the UK, there are </w:t>
      </w:r>
      <w:r w:rsidR="00FE6782">
        <w:rPr>
          <w:rFonts w:ascii="Calibri" w:eastAsia="Calibri" w:hAnsi="Calibri" w:cs="Calibri"/>
          <w:lang w:val="en-GB"/>
        </w:rPr>
        <w:t>four</w:t>
      </w:r>
      <w:r w:rsidR="00ED4565" w:rsidRPr="000A3F00">
        <w:rPr>
          <w:rFonts w:ascii="Calibri" w:eastAsia="Calibri" w:hAnsi="Calibri" w:cs="Calibri"/>
          <w:lang w:val="en-GB"/>
        </w:rPr>
        <w:t xml:space="preserve"> key deficiencies in </w:t>
      </w:r>
      <w:r w:rsidR="0040245F" w:rsidRPr="000A3F00">
        <w:rPr>
          <w:rFonts w:ascii="Calibri" w:eastAsia="Calibri" w:hAnsi="Calibri" w:cs="Calibri"/>
          <w:lang w:val="en-GB"/>
        </w:rPr>
        <w:t>its</w:t>
      </w:r>
      <w:r w:rsidR="00ED4565" w:rsidRPr="000A3F00">
        <w:rPr>
          <w:rFonts w:ascii="Calibri" w:eastAsia="Calibri" w:hAnsi="Calibri" w:cs="Calibri"/>
          <w:lang w:val="en-GB"/>
        </w:rPr>
        <w:t xml:space="preserve"> institutional framework for </w:t>
      </w:r>
      <w:r w:rsidR="0040245F" w:rsidRPr="000A3F00">
        <w:rPr>
          <w:rFonts w:ascii="Calibri" w:eastAsia="Calibri" w:hAnsi="Calibri" w:cs="Calibri"/>
          <w:lang w:val="en-GB"/>
        </w:rPr>
        <w:t>retrieving the proceeds of corruption</w:t>
      </w:r>
      <w:r w:rsidR="00ED4565" w:rsidRPr="000A3F00">
        <w:rPr>
          <w:rFonts w:ascii="Calibri" w:eastAsia="Calibri" w:hAnsi="Calibri" w:cs="Calibri"/>
          <w:lang w:val="en-GB"/>
        </w:rPr>
        <w:t>:</w:t>
      </w:r>
    </w:p>
    <w:p w14:paraId="4E25809D" w14:textId="090F49A4" w:rsidR="00692B3F" w:rsidRPr="000A3F00" w:rsidRDefault="00FE6782" w:rsidP="00692B3F">
      <w:pPr>
        <w:pStyle w:val="ListParagraph"/>
        <w:numPr>
          <w:ilvl w:val="0"/>
          <w:numId w:val="5"/>
        </w:numPr>
        <w:spacing w:after="120" w:line="259" w:lineRule="auto"/>
        <w:ind w:left="357" w:hanging="357"/>
        <w:contextualSpacing w:val="0"/>
        <w:jc w:val="both"/>
        <w:rPr>
          <w:rFonts w:ascii="Calibri" w:eastAsia="Calibri" w:hAnsi="Calibri" w:cs="Calibri"/>
          <w:lang w:val="en-GB"/>
        </w:rPr>
      </w:pPr>
      <w:r>
        <w:rPr>
          <w:rFonts w:ascii="Calibri" w:eastAsia="Calibri" w:hAnsi="Calibri" w:cs="Calibri"/>
          <w:lang w:val="en-GB"/>
        </w:rPr>
        <w:t>L</w:t>
      </w:r>
      <w:r w:rsidR="00692B3F" w:rsidRPr="000A3F00">
        <w:rPr>
          <w:rFonts w:ascii="Calibri" w:eastAsia="Calibri" w:hAnsi="Calibri" w:cs="Calibri"/>
          <w:lang w:val="en-GB"/>
        </w:rPr>
        <w:t>aw enforcement agencies undertaking asset recovery face significant capability and resource challenges, whilst being exposed to potentially debilitating costs as part</w:t>
      </w:r>
      <w:r>
        <w:rPr>
          <w:rFonts w:ascii="Calibri" w:eastAsia="Calibri" w:hAnsi="Calibri" w:cs="Calibri"/>
          <w:lang w:val="en-GB"/>
        </w:rPr>
        <w:t xml:space="preserve"> of any litigation by defendant.</w:t>
      </w:r>
    </w:p>
    <w:p w14:paraId="4EC71A63" w14:textId="16E2B516" w:rsidR="00562D0E" w:rsidRPr="000A3F00" w:rsidRDefault="00FE6782" w:rsidP="00562D0E">
      <w:pPr>
        <w:pStyle w:val="ListParagraph"/>
        <w:numPr>
          <w:ilvl w:val="0"/>
          <w:numId w:val="5"/>
        </w:numPr>
        <w:spacing w:after="120" w:line="259" w:lineRule="auto"/>
        <w:ind w:left="357" w:hanging="357"/>
        <w:contextualSpacing w:val="0"/>
        <w:jc w:val="both"/>
        <w:rPr>
          <w:rFonts w:ascii="Calibri" w:eastAsia="Calibri" w:hAnsi="Calibri" w:cs="Calibri"/>
          <w:lang w:val="en-GB"/>
        </w:rPr>
      </w:pPr>
      <w:r>
        <w:rPr>
          <w:rFonts w:ascii="Calibri" w:eastAsia="Calibri" w:hAnsi="Calibri" w:cs="Calibri"/>
          <w:lang w:val="en-GB"/>
        </w:rPr>
        <w:t>T</w:t>
      </w:r>
      <w:r w:rsidR="00ED4565" w:rsidRPr="000A3F00">
        <w:rPr>
          <w:rFonts w:ascii="Calibri" w:eastAsia="Calibri" w:hAnsi="Calibri" w:cs="Calibri"/>
          <w:lang w:val="en-GB"/>
        </w:rPr>
        <w:t xml:space="preserve">he system </w:t>
      </w:r>
      <w:r w:rsidR="004A56ED" w:rsidRPr="000A3F00">
        <w:rPr>
          <w:rFonts w:ascii="Calibri" w:eastAsia="Calibri" w:hAnsi="Calibri" w:cs="Calibri"/>
          <w:lang w:val="en-GB"/>
        </w:rPr>
        <w:t xml:space="preserve">for reporting suspicious activity (SARs) submitted by the private sector </w:t>
      </w:r>
      <w:r w:rsidR="00AF7F38" w:rsidRPr="000A3F00">
        <w:rPr>
          <w:rFonts w:ascii="Calibri" w:eastAsia="Calibri" w:hAnsi="Calibri" w:cs="Calibri"/>
          <w:lang w:val="en-GB"/>
        </w:rPr>
        <w:t>needs reforming</w:t>
      </w:r>
      <w:r w:rsidR="00154738">
        <w:rPr>
          <w:rFonts w:ascii="Calibri" w:eastAsia="Calibri" w:hAnsi="Calibri" w:cs="Calibri"/>
          <w:lang w:val="en-GB"/>
        </w:rPr>
        <w:t>, including the IT infrastructure receiving and analysing SARs and the quality of information submitted by the private sector.</w:t>
      </w:r>
    </w:p>
    <w:p w14:paraId="30637C22" w14:textId="4DB03178" w:rsidR="00861EB5" w:rsidRDefault="00861EB5" w:rsidP="00562D0E">
      <w:pPr>
        <w:pStyle w:val="ListParagraph"/>
        <w:numPr>
          <w:ilvl w:val="0"/>
          <w:numId w:val="5"/>
        </w:numPr>
        <w:spacing w:after="120" w:line="259" w:lineRule="auto"/>
        <w:ind w:left="357" w:hanging="357"/>
        <w:contextualSpacing w:val="0"/>
        <w:jc w:val="both"/>
        <w:rPr>
          <w:rFonts w:ascii="Calibri" w:eastAsia="Calibri" w:hAnsi="Calibri" w:cs="Calibri"/>
          <w:lang w:val="en-GB"/>
        </w:rPr>
      </w:pPr>
      <w:r w:rsidRPr="000A3F00">
        <w:rPr>
          <w:rFonts w:ascii="Calibri" w:eastAsia="Calibri" w:hAnsi="Calibri" w:cs="Calibri"/>
          <w:lang w:val="en-GB"/>
        </w:rPr>
        <w:t>The system for overseeing private sector compliance with money laundering rules is not fit-for-purpose and needs a complete overhaul.</w:t>
      </w:r>
    </w:p>
    <w:p w14:paraId="06BFFD87" w14:textId="675D8A12" w:rsidR="00FE6782" w:rsidRPr="000A3F00" w:rsidRDefault="00FE6782" w:rsidP="00562D0E">
      <w:pPr>
        <w:pStyle w:val="ListParagraph"/>
        <w:numPr>
          <w:ilvl w:val="0"/>
          <w:numId w:val="5"/>
        </w:numPr>
        <w:spacing w:after="120" w:line="259" w:lineRule="auto"/>
        <w:ind w:left="357" w:hanging="357"/>
        <w:contextualSpacing w:val="0"/>
        <w:jc w:val="both"/>
        <w:rPr>
          <w:rFonts w:ascii="Calibri" w:eastAsia="Calibri" w:hAnsi="Calibri" w:cs="Calibri"/>
          <w:lang w:val="en-GB"/>
        </w:rPr>
      </w:pPr>
      <w:r>
        <w:rPr>
          <w:rFonts w:ascii="Calibri" w:eastAsia="Calibri" w:hAnsi="Calibri" w:cs="Calibri"/>
          <w:lang w:val="en-GB"/>
        </w:rPr>
        <w:t>The opacity of companies incorporated in the UK’s Overseas Territories (OTs) and Crown Dependencies (CDs), and overseas companies owning UK property, prevents businesses and civil society from identifying suspect money entering the UK economy.</w:t>
      </w:r>
    </w:p>
    <w:p w14:paraId="3CDBDB77" w14:textId="77777777" w:rsidR="00FB46A2" w:rsidRPr="00C163DA" w:rsidRDefault="00B55372">
      <w:pPr>
        <w:spacing w:after="160" w:line="259" w:lineRule="auto"/>
        <w:rPr>
          <w:rFonts w:ascii="Calibri" w:eastAsia="Calibri" w:hAnsi="Calibri" w:cs="Calibri"/>
          <w:i/>
          <w:color w:val="auto"/>
          <w:lang w:val="en-GB"/>
        </w:rPr>
      </w:pPr>
      <w:r w:rsidRPr="00C163DA">
        <w:rPr>
          <w:rFonts w:ascii="Calibri" w:eastAsia="Calibri" w:hAnsi="Calibri" w:cs="Calibri"/>
          <w:i/>
          <w:color w:val="auto"/>
          <w:lang w:val="en-GB"/>
        </w:rPr>
        <w:t>Political Will</w:t>
      </w:r>
    </w:p>
    <w:p w14:paraId="537C3255" w14:textId="77777777" w:rsidR="001C109A" w:rsidRPr="000A3F00" w:rsidRDefault="0032139C">
      <w:pPr>
        <w:spacing w:after="160" w:line="256" w:lineRule="auto"/>
        <w:jc w:val="both"/>
        <w:rPr>
          <w:rFonts w:ascii="Calibri" w:eastAsia="Calibri" w:hAnsi="Calibri" w:cs="Calibri"/>
          <w:lang w:val="en-GB"/>
        </w:rPr>
      </w:pPr>
      <w:r w:rsidRPr="000A3F00">
        <w:rPr>
          <w:rFonts w:ascii="Calibri" w:eastAsia="Calibri" w:hAnsi="Calibri" w:cs="Calibri"/>
          <w:lang w:val="en-GB"/>
        </w:rPr>
        <w:t>The Government’s Economic Crime and Asset Recovery</w:t>
      </w:r>
      <w:r w:rsidR="003F3AC7" w:rsidRPr="000A3F00">
        <w:rPr>
          <w:rFonts w:ascii="Calibri" w:eastAsia="Calibri" w:hAnsi="Calibri" w:cs="Calibri"/>
          <w:lang w:val="en-GB"/>
        </w:rPr>
        <w:t xml:space="preserve"> Action p</w:t>
      </w:r>
      <w:r w:rsidRPr="000A3F00">
        <w:rPr>
          <w:rFonts w:ascii="Calibri" w:eastAsia="Calibri" w:hAnsi="Calibri" w:cs="Calibri"/>
          <w:lang w:val="en-GB"/>
        </w:rPr>
        <w:t>lan</w:t>
      </w:r>
      <w:r w:rsidR="003F3AC7" w:rsidRPr="000A3F00">
        <w:rPr>
          <w:rFonts w:ascii="Calibri" w:eastAsia="Calibri" w:hAnsi="Calibri" w:cs="Calibri"/>
          <w:lang w:val="en-GB"/>
        </w:rPr>
        <w:t>s</w:t>
      </w:r>
      <w:r w:rsidRPr="000A3F00">
        <w:rPr>
          <w:rFonts w:ascii="Calibri" w:eastAsia="Calibri" w:hAnsi="Calibri" w:cs="Calibri"/>
          <w:lang w:val="en-GB"/>
        </w:rPr>
        <w:t xml:space="preserve"> se</w:t>
      </w:r>
      <w:r w:rsidR="003F3AC7" w:rsidRPr="000A3F00">
        <w:rPr>
          <w:rFonts w:ascii="Calibri" w:eastAsia="Calibri" w:hAnsi="Calibri" w:cs="Calibri"/>
          <w:lang w:val="en-GB"/>
        </w:rPr>
        <w:t>t out</w:t>
      </w:r>
      <w:r w:rsidRPr="000A3F00">
        <w:rPr>
          <w:rFonts w:ascii="Calibri" w:eastAsia="Calibri" w:hAnsi="Calibri" w:cs="Calibri"/>
          <w:lang w:val="en-GB"/>
        </w:rPr>
        <w:t xml:space="preserve"> wide-ranging work programme</w:t>
      </w:r>
      <w:r w:rsidR="003F3AC7" w:rsidRPr="000A3F00">
        <w:rPr>
          <w:rFonts w:ascii="Calibri" w:eastAsia="Calibri" w:hAnsi="Calibri" w:cs="Calibri"/>
          <w:lang w:val="en-GB"/>
        </w:rPr>
        <w:t>s</w:t>
      </w:r>
      <w:r w:rsidRPr="000A3F00">
        <w:rPr>
          <w:rFonts w:ascii="Calibri" w:eastAsia="Calibri" w:hAnsi="Calibri" w:cs="Calibri"/>
          <w:lang w:val="en-GB"/>
        </w:rPr>
        <w:t xml:space="preserve"> to help improve the UK’s response to corrupt wealth ente</w:t>
      </w:r>
      <w:r w:rsidR="001C109A" w:rsidRPr="000A3F00">
        <w:rPr>
          <w:rFonts w:ascii="Calibri" w:eastAsia="Calibri" w:hAnsi="Calibri" w:cs="Calibri"/>
          <w:lang w:val="en-GB"/>
        </w:rPr>
        <w:t xml:space="preserve">ring the economy, including: </w:t>
      </w:r>
    </w:p>
    <w:p w14:paraId="79C99517" w14:textId="36C0C5B2" w:rsidR="001C109A" w:rsidRPr="000A3F00" w:rsidRDefault="001C109A" w:rsidP="001C109A">
      <w:pPr>
        <w:pStyle w:val="ListParagraph"/>
        <w:numPr>
          <w:ilvl w:val="0"/>
          <w:numId w:val="6"/>
        </w:numPr>
        <w:spacing w:after="160" w:line="256" w:lineRule="auto"/>
        <w:jc w:val="both"/>
        <w:rPr>
          <w:rFonts w:ascii="Calibri" w:eastAsia="Calibri" w:hAnsi="Calibri" w:cs="Calibri"/>
          <w:lang w:val="en-GB"/>
        </w:rPr>
      </w:pPr>
      <w:r w:rsidRPr="000A3F00">
        <w:rPr>
          <w:rFonts w:ascii="Calibri" w:eastAsia="Calibri" w:hAnsi="Calibri" w:cs="Calibri"/>
          <w:lang w:val="en-GB"/>
        </w:rPr>
        <w:t>continued funding for the IACCC</w:t>
      </w:r>
      <w:r w:rsidR="000A3F00" w:rsidRPr="000A3F00">
        <w:rPr>
          <w:rStyle w:val="FootnoteReference"/>
          <w:rFonts w:eastAsia="Calibri" w:cs="Calibri"/>
          <w:sz w:val="22"/>
          <w:lang w:val="en-GB"/>
        </w:rPr>
        <w:footnoteReference w:id="8"/>
      </w:r>
    </w:p>
    <w:p w14:paraId="6C509D03" w14:textId="31140864" w:rsidR="001C109A" w:rsidRPr="000A3F00" w:rsidRDefault="00385C42" w:rsidP="001C109A">
      <w:pPr>
        <w:pStyle w:val="ListParagraph"/>
        <w:numPr>
          <w:ilvl w:val="0"/>
          <w:numId w:val="6"/>
        </w:numPr>
        <w:spacing w:after="160" w:line="256" w:lineRule="auto"/>
        <w:jc w:val="both"/>
        <w:rPr>
          <w:rFonts w:ascii="Calibri" w:eastAsia="Calibri" w:hAnsi="Calibri" w:cs="Calibri"/>
          <w:lang w:val="en-GB"/>
        </w:rPr>
      </w:pPr>
      <w:r>
        <w:rPr>
          <w:rFonts w:ascii="Calibri" w:eastAsia="Calibri" w:hAnsi="Calibri" w:cs="Calibri"/>
          <w:lang w:val="en-GB"/>
        </w:rPr>
        <w:t xml:space="preserve">additional </w:t>
      </w:r>
      <w:r w:rsidR="0032139C" w:rsidRPr="000A3F00">
        <w:rPr>
          <w:rFonts w:ascii="Calibri" w:eastAsia="Calibri" w:hAnsi="Calibri" w:cs="Calibri"/>
          <w:lang w:val="en-GB"/>
        </w:rPr>
        <w:t>funding for the NCA’s International Corruption Unit (ICU) and prosecutors</w:t>
      </w:r>
      <w:r w:rsidR="0032139C" w:rsidRPr="000A3F00">
        <w:rPr>
          <w:rStyle w:val="FootnoteReference"/>
          <w:rFonts w:eastAsia="Calibri" w:cs="Calibri"/>
          <w:sz w:val="22"/>
          <w:lang w:val="en-GB"/>
        </w:rPr>
        <w:footnoteReference w:id="9"/>
      </w:r>
    </w:p>
    <w:p w14:paraId="1E27931B" w14:textId="6C954D3B" w:rsidR="001C109A" w:rsidRPr="000A3F00" w:rsidRDefault="001C109A" w:rsidP="001C109A">
      <w:pPr>
        <w:pStyle w:val="ListParagraph"/>
        <w:numPr>
          <w:ilvl w:val="0"/>
          <w:numId w:val="6"/>
        </w:numPr>
        <w:spacing w:after="160" w:line="256" w:lineRule="auto"/>
        <w:jc w:val="both"/>
        <w:rPr>
          <w:rFonts w:ascii="Calibri" w:eastAsia="Calibri" w:hAnsi="Calibri" w:cs="Calibri"/>
          <w:lang w:val="en-GB"/>
        </w:rPr>
      </w:pPr>
      <w:r w:rsidRPr="000A3F00">
        <w:rPr>
          <w:rFonts w:ascii="Calibri" w:eastAsia="Calibri" w:hAnsi="Calibri" w:cs="Calibri"/>
          <w:lang w:val="en-GB"/>
        </w:rPr>
        <w:t>continued support for action through the Global Forum on Asset Recovery (GFAR)</w:t>
      </w:r>
      <w:r w:rsidR="000A3F00" w:rsidRPr="000A3F00">
        <w:rPr>
          <w:rFonts w:ascii="Calibri" w:eastAsia="Calibri" w:hAnsi="Calibri" w:cs="Calibri"/>
          <w:vertAlign w:val="superscript"/>
          <w:lang w:val="en-GB"/>
        </w:rPr>
        <w:footnoteReference w:id="10"/>
      </w:r>
    </w:p>
    <w:p w14:paraId="5DEE029D" w14:textId="77777777" w:rsidR="003D5EFA" w:rsidRDefault="000A3F00" w:rsidP="001C109A">
      <w:pPr>
        <w:pStyle w:val="ListParagraph"/>
        <w:numPr>
          <w:ilvl w:val="0"/>
          <w:numId w:val="6"/>
        </w:numPr>
        <w:spacing w:after="160" w:line="256" w:lineRule="auto"/>
        <w:jc w:val="both"/>
        <w:rPr>
          <w:rFonts w:ascii="Calibri" w:eastAsia="Calibri" w:hAnsi="Calibri" w:cs="Calibri"/>
          <w:lang w:val="en-GB"/>
        </w:rPr>
      </w:pPr>
      <w:r w:rsidRPr="000A3F00">
        <w:rPr>
          <w:rFonts w:ascii="Calibri" w:eastAsia="Calibri" w:hAnsi="Calibri" w:cs="Calibri"/>
          <w:lang w:val="en-GB"/>
        </w:rPr>
        <w:t>commitments to introduce improvements to the SARs regime</w:t>
      </w:r>
    </w:p>
    <w:p w14:paraId="13EA2BDA" w14:textId="197A2AFA" w:rsidR="000A3F00" w:rsidRPr="000A3F00" w:rsidRDefault="003D5EFA" w:rsidP="001C109A">
      <w:pPr>
        <w:pStyle w:val="ListParagraph"/>
        <w:numPr>
          <w:ilvl w:val="0"/>
          <w:numId w:val="6"/>
        </w:numPr>
        <w:spacing w:after="160" w:line="256" w:lineRule="auto"/>
        <w:jc w:val="both"/>
        <w:rPr>
          <w:rFonts w:ascii="Calibri" w:eastAsia="Calibri" w:hAnsi="Calibri" w:cs="Calibri"/>
          <w:lang w:val="en-GB"/>
        </w:rPr>
      </w:pPr>
      <w:r>
        <w:rPr>
          <w:rFonts w:ascii="Calibri" w:eastAsia="Calibri" w:hAnsi="Calibri" w:cs="Calibri"/>
          <w:lang w:val="en-GB"/>
        </w:rPr>
        <w:t>establishing the Office for Professional Body AML Supervision (OPBAS) to increase the coordination and effectiveness of the UK’s 22 different non-public-sector AML supervisors</w:t>
      </w:r>
      <w:r>
        <w:rPr>
          <w:rStyle w:val="FootnoteReference"/>
          <w:rFonts w:eastAsia="Calibri" w:cs="Calibri"/>
          <w:lang w:val="en-GB"/>
        </w:rPr>
        <w:footnoteReference w:id="11"/>
      </w:r>
    </w:p>
    <w:p w14:paraId="49F041E6" w14:textId="10A656D7" w:rsidR="000A3F00" w:rsidRPr="000A3F00" w:rsidRDefault="000A3F00" w:rsidP="001C109A">
      <w:pPr>
        <w:pStyle w:val="ListParagraph"/>
        <w:numPr>
          <w:ilvl w:val="0"/>
          <w:numId w:val="6"/>
        </w:numPr>
        <w:spacing w:after="160" w:line="256" w:lineRule="auto"/>
        <w:jc w:val="both"/>
        <w:rPr>
          <w:rFonts w:ascii="Calibri" w:eastAsia="Calibri" w:hAnsi="Calibri" w:cs="Calibri"/>
          <w:lang w:val="en-GB"/>
        </w:rPr>
      </w:pPr>
      <w:r w:rsidRPr="000A3F00">
        <w:rPr>
          <w:rFonts w:ascii="Calibri" w:eastAsia="Calibri" w:hAnsi="Calibri" w:cs="Calibri"/>
          <w:lang w:val="en-GB"/>
        </w:rPr>
        <w:t>commitments to strengthen and enhance the AML supervisory system</w:t>
      </w:r>
      <w:r w:rsidRPr="000A3F00">
        <w:rPr>
          <w:vertAlign w:val="superscript"/>
        </w:rPr>
        <w:footnoteReference w:id="12"/>
      </w:r>
    </w:p>
    <w:p w14:paraId="7CFC2C6F" w14:textId="43E83E95" w:rsidR="0032139C" w:rsidRPr="000A3F00" w:rsidRDefault="001C109A">
      <w:pPr>
        <w:spacing w:after="160" w:line="256" w:lineRule="auto"/>
        <w:jc w:val="both"/>
        <w:rPr>
          <w:rFonts w:ascii="Calibri" w:eastAsia="Calibri" w:hAnsi="Calibri" w:cs="Calibri"/>
          <w:lang w:val="en-GB"/>
        </w:rPr>
      </w:pPr>
      <w:r w:rsidRPr="000A3F00">
        <w:rPr>
          <w:rFonts w:ascii="Calibri" w:eastAsia="Calibri" w:hAnsi="Calibri" w:cs="Calibri"/>
          <w:lang w:val="en-GB"/>
        </w:rPr>
        <w:t>It also explicitly states</w:t>
      </w:r>
      <w:r w:rsidR="003F3AC7" w:rsidRPr="000A3F00">
        <w:rPr>
          <w:rFonts w:ascii="Calibri" w:eastAsia="Calibri" w:hAnsi="Calibri" w:cs="Calibri"/>
          <w:lang w:val="en-GB"/>
        </w:rPr>
        <w:t xml:space="preserve"> a desire to see ‘year-on-year increases’</w:t>
      </w:r>
      <w:r w:rsidRPr="000A3F00">
        <w:rPr>
          <w:rFonts w:ascii="Calibri" w:eastAsia="Calibri" w:hAnsi="Calibri" w:cs="Calibri"/>
          <w:lang w:val="en-GB"/>
        </w:rPr>
        <w:t xml:space="preserve"> to the level of asset recovery.</w:t>
      </w:r>
      <w:r w:rsidR="003F3AC7" w:rsidRPr="000A3F00">
        <w:rPr>
          <w:rStyle w:val="FootnoteReference"/>
          <w:rFonts w:eastAsia="Calibri" w:cs="Calibri"/>
          <w:sz w:val="22"/>
          <w:lang w:val="en-GB"/>
        </w:rPr>
        <w:footnoteReference w:id="13"/>
      </w:r>
    </w:p>
    <w:p w14:paraId="087B2FA9" w14:textId="4FA441B2" w:rsidR="00901CE9" w:rsidRPr="00901CE9" w:rsidRDefault="006838C4" w:rsidP="00901CE9">
      <w:pPr>
        <w:spacing w:after="120" w:line="259" w:lineRule="auto"/>
        <w:jc w:val="both"/>
        <w:rPr>
          <w:rFonts w:ascii="Calibri" w:eastAsia="Calibri" w:hAnsi="Calibri" w:cs="Calibri"/>
          <w:lang w:val="en-GB"/>
        </w:rPr>
      </w:pPr>
      <w:r>
        <w:rPr>
          <w:rFonts w:ascii="Calibri" w:eastAsia="Calibri" w:hAnsi="Calibri" w:cs="Calibri"/>
          <w:lang w:val="en-GB"/>
        </w:rPr>
        <w:t>Commitments from the CDs and some OTs to open-up their corporate registers should help improve the identification of illicit funds for recovery. However, some key jurisdictions are resisting reform, such as the British Virgin Islands, and w</w:t>
      </w:r>
      <w:r w:rsidR="00901CE9">
        <w:rPr>
          <w:rFonts w:ascii="Calibri" w:eastAsia="Calibri" w:hAnsi="Calibri" w:cs="Calibri"/>
          <w:lang w:val="en-GB"/>
        </w:rPr>
        <w:t>e are concerned about the potential impact Brexit may have on law enforcement agencies’ cooperation with counterparts in EU Member States</w:t>
      </w:r>
      <w:r>
        <w:rPr>
          <w:rFonts w:ascii="Calibri" w:eastAsia="Calibri" w:hAnsi="Calibri" w:cs="Calibri"/>
          <w:lang w:val="en-GB"/>
        </w:rPr>
        <w:t>. W</w:t>
      </w:r>
      <w:r w:rsidR="00901CE9">
        <w:rPr>
          <w:rFonts w:ascii="Calibri" w:eastAsia="Calibri" w:hAnsi="Calibri" w:cs="Calibri"/>
          <w:lang w:val="en-GB"/>
        </w:rPr>
        <w:t>e</w:t>
      </w:r>
      <w:r>
        <w:rPr>
          <w:rFonts w:ascii="Calibri" w:eastAsia="Calibri" w:hAnsi="Calibri" w:cs="Calibri"/>
          <w:lang w:val="en-GB"/>
        </w:rPr>
        <w:t xml:space="preserve"> are</w:t>
      </w:r>
      <w:r w:rsidR="00901CE9">
        <w:rPr>
          <w:rFonts w:ascii="Calibri" w:eastAsia="Calibri" w:hAnsi="Calibri" w:cs="Calibri"/>
          <w:lang w:val="en-GB"/>
        </w:rPr>
        <w:t xml:space="preserve"> maintaining a watching brief on this situation.</w:t>
      </w:r>
    </w:p>
    <w:p w14:paraId="7AA44690" w14:textId="77777777" w:rsidR="00FB46A2" w:rsidRPr="00C163DA" w:rsidRDefault="00B55372">
      <w:pPr>
        <w:spacing w:after="160" w:line="256" w:lineRule="auto"/>
        <w:jc w:val="both"/>
        <w:rPr>
          <w:rFonts w:ascii="Calibri" w:eastAsia="Calibri" w:hAnsi="Calibri" w:cs="Calibri"/>
          <w:i/>
          <w:color w:val="auto"/>
          <w:lang w:val="en-GB"/>
        </w:rPr>
      </w:pPr>
      <w:r w:rsidRPr="00C163DA">
        <w:rPr>
          <w:noProof/>
          <w:color w:val="auto"/>
          <w:lang w:val="en-GB"/>
        </w:rPr>
        <mc:AlternateContent>
          <mc:Choice Requires="wps">
            <w:drawing>
              <wp:anchor distT="0" distB="0" distL="114300" distR="114300" simplePos="0" relativeHeight="251659264" behindDoc="1" locked="0" layoutInCell="1" hidden="0" allowOverlap="1" wp14:anchorId="6CF8366F" wp14:editId="7CAA7383">
                <wp:simplePos x="0" y="0"/>
                <wp:positionH relativeFrom="margin">
                  <wp:posOffset>3743960</wp:posOffset>
                </wp:positionH>
                <wp:positionV relativeFrom="paragraph">
                  <wp:posOffset>5715</wp:posOffset>
                </wp:positionV>
                <wp:extent cx="2228215" cy="4097020"/>
                <wp:effectExtent l="0" t="0" r="19685" b="1778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2228215" cy="4097020"/>
                        </a:xfrm>
                        <a:prstGeom prst="rect">
                          <a:avLst/>
                        </a:prstGeom>
                        <a:solidFill>
                          <a:srgbClr val="A5A5A5"/>
                        </a:solidFill>
                        <a:ln w="9525" cap="flat" cmpd="sng">
                          <a:solidFill>
                            <a:srgbClr val="A5A5A5"/>
                          </a:solidFill>
                          <a:prstDash val="solid"/>
                          <a:miter lim="8000"/>
                          <a:headEnd type="none" w="med" len="med"/>
                          <a:tailEnd type="none" w="med" len="med"/>
                        </a:ln>
                      </wps:spPr>
                      <wps:txbx>
                        <w:txbxContent>
                          <w:p w14:paraId="1708809C" w14:textId="77777777" w:rsidR="00E95E98" w:rsidRPr="00E95E98" w:rsidRDefault="00E95E98" w:rsidP="00E95E98">
                            <w:pPr>
                              <w:spacing w:after="160" w:line="256" w:lineRule="auto"/>
                              <w:textDirection w:val="btLr"/>
                              <w:rPr>
                                <w:rFonts w:ascii="Calibri" w:eastAsia="Calibri" w:hAnsi="Calibri" w:cs="Calibri"/>
                                <w:i/>
                                <w:color w:val="FFFFFF"/>
                                <w:sz w:val="20"/>
                                <w:lang w:val="en-GB"/>
                              </w:rPr>
                            </w:pPr>
                            <w:r w:rsidRPr="00E95E98">
                              <w:rPr>
                                <w:rFonts w:ascii="Calibri" w:eastAsia="Calibri" w:hAnsi="Calibri" w:cs="Calibri"/>
                                <w:i/>
                                <w:color w:val="FFFFFF"/>
                                <w:sz w:val="20"/>
                                <w:lang w:val="en-GB"/>
                              </w:rPr>
                              <w:t>Case: Dmitry Firtash</w:t>
                            </w:r>
                          </w:p>
                          <w:p w14:paraId="30E769BC" w14:textId="19B6CF50" w:rsidR="00E95E98" w:rsidRPr="00E95E98" w:rsidRDefault="00E95E98" w:rsidP="00E95E98">
                            <w:pPr>
                              <w:spacing w:after="160" w:line="256" w:lineRule="auto"/>
                              <w:textDirection w:val="btLr"/>
                              <w:rPr>
                                <w:rFonts w:ascii="Calibri" w:eastAsia="Calibri" w:hAnsi="Calibri" w:cs="Calibri"/>
                                <w:i/>
                                <w:color w:val="FFFFFF"/>
                                <w:sz w:val="20"/>
                                <w:lang w:val="en-GB"/>
                              </w:rPr>
                            </w:pPr>
                            <w:r w:rsidRPr="00E95E98">
                              <w:rPr>
                                <w:rFonts w:ascii="Calibri" w:eastAsia="Calibri" w:hAnsi="Calibri" w:cs="Calibri"/>
                                <w:i/>
                                <w:color w:val="FFFFFF"/>
                                <w:sz w:val="20"/>
                                <w:lang w:val="en-GB"/>
                              </w:rPr>
                              <w:t>Ukrainian businessman Dmitry Firtash is wanted in the US on corruption and money laundering charges, but there is no public record that he has faced investigation in the UK where he holds considerable assets.</w:t>
                            </w:r>
                          </w:p>
                          <w:p w14:paraId="081720AB" w14:textId="09721B78" w:rsidR="00E95E98" w:rsidRPr="00E95E98" w:rsidRDefault="00E95E98" w:rsidP="00E95E98">
                            <w:pPr>
                              <w:spacing w:after="160" w:line="256" w:lineRule="auto"/>
                              <w:textDirection w:val="btLr"/>
                              <w:rPr>
                                <w:rFonts w:ascii="Calibri" w:eastAsia="Calibri" w:hAnsi="Calibri" w:cs="Calibri"/>
                                <w:i/>
                                <w:color w:val="FFFFFF"/>
                                <w:sz w:val="20"/>
                                <w:lang w:val="en-GB"/>
                              </w:rPr>
                            </w:pPr>
                            <w:r w:rsidRPr="00E95E98">
                              <w:rPr>
                                <w:rFonts w:ascii="Calibri" w:eastAsia="Calibri" w:hAnsi="Calibri" w:cs="Calibri"/>
                                <w:i/>
                                <w:color w:val="FFFFFF"/>
                                <w:sz w:val="20"/>
                                <w:lang w:val="en-GB"/>
                              </w:rPr>
                              <w:t>Firtash and his Lada own property in London, including a house in Knightsbridge bought in his wife’s name in 2013. Firtash is also the registered owner of a disused tube station in West London, which he bought from the UK Ministry of Defence for £53 million in 2014. In February 2019, this property was frozen by order of a UK High Court as part of a disputed with VTB Bank.</w:t>
                            </w:r>
                            <w:bookmarkStart w:id="0" w:name="_MailEndCompose"/>
                            <w:bookmarkEnd w:id="0"/>
                          </w:p>
                          <w:p w14:paraId="4FBF926E" w14:textId="1742DB18" w:rsidR="00FB46A2" w:rsidRPr="00E95E98" w:rsidRDefault="00940A4D" w:rsidP="00E95E98">
                            <w:pPr>
                              <w:spacing w:after="160" w:line="256" w:lineRule="auto"/>
                              <w:textDirection w:val="btLr"/>
                              <w:rPr>
                                <w:rFonts w:ascii="Calibri" w:eastAsia="Calibri" w:hAnsi="Calibri" w:cs="Calibri"/>
                                <w:i/>
                                <w:color w:val="FFFFFF"/>
                                <w:sz w:val="20"/>
                                <w:lang w:val="en-GB"/>
                              </w:rPr>
                            </w:pPr>
                            <w:hyperlink r:id="rId8" w:history="1">
                              <w:r w:rsidR="00E95E98" w:rsidRPr="00E95E98">
                                <w:rPr>
                                  <w:rStyle w:val="Hyperlink"/>
                                  <w:rFonts w:ascii="Calibri" w:eastAsia="Calibri" w:hAnsi="Calibri" w:cs="Calibri"/>
                                  <w:i/>
                                  <w:sz w:val="20"/>
                                  <w:lang w:val="en-GB"/>
                                </w:rPr>
                                <w:t>https://www.justice.gov/sites/default/files/criminal-fraud/legacy/2014/04/03/df_indictment_final_stamped_6-20-13.pdf</w:t>
                              </w:r>
                            </w:hyperlink>
                            <w:r w:rsidR="00E95E98" w:rsidRPr="00E95E98">
                              <w:rPr>
                                <w:rFonts w:ascii="Calibri" w:eastAsia="Calibri" w:hAnsi="Calibri" w:cs="Calibri"/>
                                <w:i/>
                                <w:color w:val="FFFFFF"/>
                                <w:sz w:val="20"/>
                                <w:lang w:val="en-GB"/>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F8366F" id="Rectangle 4" o:spid="_x0000_s1027" style="position:absolute;left:0;text-align:left;margin-left:294.8pt;margin-top:.45pt;width:175.45pt;height:32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" fillcolor="#a5a5a5" strokecolor="#a5a5a5">
                <v:stroke miterlimit="5243f"/>
                <v:textbox inset="2.53958mm,1.2694mm,2.53958mm,1.2694mm">
                  <w:txbxContent>
                    <w:p w14:paraId="1708809C" w14:textId="77777777" w:rsidR="00E95E98" w:rsidRPr="00E95E98" w:rsidRDefault="00E95E98" w:rsidP="00E95E98">
                      <w:pPr>
                        <w:spacing w:after="160" w:line="256" w:lineRule="auto"/>
                        <w:textDirection w:val="btLr"/>
                        <w:rPr>
                          <w:rFonts w:ascii="Calibri" w:eastAsia="Calibri" w:hAnsi="Calibri" w:cs="Calibri"/>
                          <w:i/>
                          <w:color w:val="FFFFFF"/>
                          <w:sz w:val="20"/>
                          <w:lang w:val="en-GB"/>
                        </w:rPr>
                      </w:pPr>
                      <w:r w:rsidRPr="00E95E98">
                        <w:rPr>
                          <w:rFonts w:ascii="Calibri" w:eastAsia="Calibri" w:hAnsi="Calibri" w:cs="Calibri"/>
                          <w:i/>
                          <w:color w:val="FFFFFF"/>
                          <w:sz w:val="20"/>
                          <w:lang w:val="en-GB"/>
                        </w:rPr>
                        <w:t>Case: Dmitry Firtash</w:t>
                      </w:r>
                    </w:p>
                    <w:p w14:paraId="30E769BC" w14:textId="19B6CF50" w:rsidR="00E95E98" w:rsidRPr="00E95E98" w:rsidRDefault="00E95E98" w:rsidP="00E95E98">
                      <w:pPr>
                        <w:spacing w:after="160" w:line="256" w:lineRule="auto"/>
                        <w:textDirection w:val="btLr"/>
                        <w:rPr>
                          <w:rFonts w:ascii="Calibri" w:eastAsia="Calibri" w:hAnsi="Calibri" w:cs="Calibri"/>
                          <w:i/>
                          <w:color w:val="FFFFFF"/>
                          <w:sz w:val="20"/>
                          <w:lang w:val="en-GB"/>
                        </w:rPr>
                      </w:pPr>
                      <w:r w:rsidRPr="00E95E98">
                        <w:rPr>
                          <w:rFonts w:ascii="Calibri" w:eastAsia="Calibri" w:hAnsi="Calibri" w:cs="Calibri"/>
                          <w:i/>
                          <w:color w:val="FFFFFF"/>
                          <w:sz w:val="20"/>
                          <w:lang w:val="en-GB"/>
                        </w:rPr>
                        <w:t>Ukrainian businessman Dmitry Firtash is wanted in the US on corruption and money laundering charges, but there is no public record that he has faced investigation in the UK where he holds considerable assets.</w:t>
                      </w:r>
                    </w:p>
                    <w:p w14:paraId="081720AB" w14:textId="09721B78" w:rsidR="00E95E98" w:rsidRPr="00E95E98" w:rsidRDefault="00E95E98" w:rsidP="00E95E98">
                      <w:pPr>
                        <w:spacing w:after="160" w:line="256" w:lineRule="auto"/>
                        <w:textDirection w:val="btLr"/>
                        <w:rPr>
                          <w:rFonts w:ascii="Calibri" w:eastAsia="Calibri" w:hAnsi="Calibri" w:cs="Calibri"/>
                          <w:i/>
                          <w:color w:val="FFFFFF"/>
                          <w:sz w:val="20"/>
                          <w:lang w:val="en-GB"/>
                        </w:rPr>
                      </w:pPr>
                      <w:r w:rsidRPr="00E95E98">
                        <w:rPr>
                          <w:rFonts w:ascii="Calibri" w:eastAsia="Calibri" w:hAnsi="Calibri" w:cs="Calibri"/>
                          <w:i/>
                          <w:color w:val="FFFFFF"/>
                          <w:sz w:val="20"/>
                          <w:lang w:val="en-GB"/>
                        </w:rPr>
                        <w:t>Firtash and his Lada own property in London, including a house in Knightsbridge bought in his wife’s name in 2013. Firtash is also the registered owner of a disused tube station in West London, which he bought from the UK Ministry of Defence for £53 million in 2014. In February 2019, this property was frozen by order of a UK High Court as part of a disputed with VTB Bank.</w:t>
                      </w:r>
                      <w:bookmarkStart w:id="1" w:name="_MailEndCompose"/>
                      <w:bookmarkEnd w:id="1"/>
                    </w:p>
                    <w:p w14:paraId="4FBF926E" w14:textId="1742DB18" w:rsidR="00FB46A2" w:rsidRPr="00E95E98" w:rsidRDefault="00940A4D" w:rsidP="00E95E98">
                      <w:pPr>
                        <w:spacing w:after="160" w:line="256" w:lineRule="auto"/>
                        <w:textDirection w:val="btLr"/>
                        <w:rPr>
                          <w:rFonts w:ascii="Calibri" w:eastAsia="Calibri" w:hAnsi="Calibri" w:cs="Calibri"/>
                          <w:i/>
                          <w:color w:val="FFFFFF"/>
                          <w:sz w:val="20"/>
                          <w:lang w:val="en-GB"/>
                        </w:rPr>
                      </w:pPr>
                      <w:hyperlink r:id="rId9" w:history="1">
                        <w:r w:rsidR="00E95E98" w:rsidRPr="00E95E98">
                          <w:rPr>
                            <w:rStyle w:val="Hyperlink"/>
                            <w:rFonts w:ascii="Calibri" w:eastAsia="Calibri" w:hAnsi="Calibri" w:cs="Calibri"/>
                            <w:i/>
                            <w:sz w:val="20"/>
                            <w:lang w:val="en-GB"/>
                          </w:rPr>
                          <w:t>https://www.justice.gov/sites/default/files/criminal-fraud/legacy/2014/04/03/df_indictment_final_stamped_6-20-13.pdf</w:t>
                        </w:r>
                      </w:hyperlink>
                      <w:r w:rsidR="00E95E98" w:rsidRPr="00E95E98">
                        <w:rPr>
                          <w:rFonts w:ascii="Calibri" w:eastAsia="Calibri" w:hAnsi="Calibri" w:cs="Calibri"/>
                          <w:i/>
                          <w:color w:val="FFFFFF"/>
                          <w:sz w:val="20"/>
                          <w:lang w:val="en-GB"/>
                        </w:rPr>
                        <w:t xml:space="preserve"> </w:t>
                      </w:r>
                    </w:p>
                  </w:txbxContent>
                </v:textbox>
                <w10:wrap type="square" anchorx="margin"/>
              </v:rect>
            </w:pict>
          </mc:Fallback>
        </mc:AlternateContent>
      </w:r>
      <w:r w:rsidRPr="00C163DA">
        <w:rPr>
          <w:rFonts w:ascii="Calibri" w:eastAsia="Calibri" w:hAnsi="Calibri" w:cs="Calibri"/>
          <w:i/>
          <w:color w:val="auto"/>
          <w:lang w:val="en-GB"/>
        </w:rPr>
        <w:t>Transparency and Participation</w:t>
      </w:r>
    </w:p>
    <w:p w14:paraId="0B33F734" w14:textId="77777777" w:rsidR="005D3D6D" w:rsidRPr="000A3F00" w:rsidRDefault="00B55372" w:rsidP="005D3D6D">
      <w:pPr>
        <w:spacing w:after="160" w:line="256" w:lineRule="auto"/>
        <w:jc w:val="both"/>
        <w:rPr>
          <w:rFonts w:ascii="Calibri" w:eastAsia="Calibri" w:hAnsi="Calibri" w:cs="Calibri"/>
          <w:lang w:val="en-GB"/>
        </w:rPr>
      </w:pPr>
      <w:r w:rsidRPr="000A3F00">
        <w:rPr>
          <w:rFonts w:ascii="Calibri" w:eastAsia="Calibri" w:hAnsi="Calibri" w:cs="Calibri"/>
          <w:lang w:val="en-GB"/>
        </w:rPr>
        <w:t xml:space="preserve">Law enforcement </w:t>
      </w:r>
      <w:r w:rsidR="003C73C8" w:rsidRPr="000A3F00">
        <w:rPr>
          <w:rFonts w:ascii="Calibri" w:eastAsia="Calibri" w:hAnsi="Calibri" w:cs="Calibri"/>
          <w:lang w:val="en-GB"/>
        </w:rPr>
        <w:t xml:space="preserve">agencies </w:t>
      </w:r>
      <w:r w:rsidRPr="000A3F00">
        <w:rPr>
          <w:rFonts w:ascii="Calibri" w:eastAsia="Calibri" w:hAnsi="Calibri" w:cs="Calibri"/>
          <w:lang w:val="en-GB"/>
        </w:rPr>
        <w:t xml:space="preserve">and policy officials meet with civil society on a regular basis and there are many examples of constructive engagement. </w:t>
      </w:r>
      <w:r w:rsidR="005D3D6D" w:rsidRPr="000A3F00">
        <w:rPr>
          <w:rFonts w:ascii="Calibri" w:eastAsia="Calibri" w:hAnsi="Calibri" w:cs="Calibri"/>
          <w:lang w:val="en-GB"/>
        </w:rPr>
        <w:t>There are on-going discussions between civil society and both the NCA and SFO about how best to communicate the progress of cases where information has been provided by civil society.</w:t>
      </w:r>
    </w:p>
    <w:p w14:paraId="70798506" w14:textId="40A5C695" w:rsidR="00FB46A2" w:rsidRPr="000A3F00" w:rsidRDefault="00562D0E" w:rsidP="00562D0E">
      <w:pPr>
        <w:spacing w:after="160" w:line="256" w:lineRule="auto"/>
        <w:rPr>
          <w:rFonts w:ascii="Calibri" w:eastAsia="Calibri" w:hAnsi="Calibri" w:cs="Calibri"/>
          <w:lang w:val="en-GB"/>
        </w:rPr>
      </w:pPr>
      <w:r w:rsidRPr="000A3F00">
        <w:rPr>
          <w:rFonts w:ascii="Calibri" w:eastAsia="Calibri" w:hAnsi="Calibri" w:cs="Calibri"/>
          <w:lang w:val="en-GB"/>
        </w:rPr>
        <w:t xml:space="preserve">The asset recovery and repatriation process in the UK remains opaque. </w:t>
      </w:r>
      <w:r w:rsidR="005D3D6D" w:rsidRPr="000A3F00">
        <w:rPr>
          <w:rFonts w:ascii="Calibri" w:eastAsia="Calibri" w:hAnsi="Calibri" w:cs="Calibri"/>
          <w:lang w:val="en-GB"/>
        </w:rPr>
        <w:t xml:space="preserve">Although the Home Office has released annual asset recovery statistics which give a high level picture of </w:t>
      </w:r>
      <w:r w:rsidR="00F92854" w:rsidRPr="000A3F00">
        <w:rPr>
          <w:rFonts w:ascii="Calibri" w:eastAsia="Calibri" w:hAnsi="Calibri" w:cs="Calibri"/>
          <w:lang w:val="en-GB"/>
        </w:rPr>
        <w:t>the UK’s</w:t>
      </w:r>
      <w:r w:rsidR="005D3D6D" w:rsidRPr="000A3F00">
        <w:rPr>
          <w:rFonts w:ascii="Calibri" w:eastAsia="Calibri" w:hAnsi="Calibri" w:cs="Calibri"/>
          <w:lang w:val="en-GB"/>
        </w:rPr>
        <w:t xml:space="preserve"> performance, this does not provide disaggregated </w:t>
      </w:r>
      <w:r w:rsidR="005131AC">
        <w:rPr>
          <w:rFonts w:ascii="Calibri" w:eastAsia="Calibri" w:hAnsi="Calibri" w:cs="Calibri"/>
          <w:lang w:val="en-GB"/>
        </w:rPr>
        <w:t>information</w:t>
      </w:r>
      <w:r w:rsidR="005D3D6D" w:rsidRPr="000A3F00">
        <w:rPr>
          <w:rFonts w:ascii="Calibri" w:eastAsia="Calibri" w:hAnsi="Calibri" w:cs="Calibri"/>
          <w:lang w:val="en-GB"/>
        </w:rPr>
        <w:t xml:space="preserve"> about specific offences or jurisdictions. </w:t>
      </w:r>
      <w:r w:rsidR="00A4691B" w:rsidRPr="000A3F00">
        <w:rPr>
          <w:rFonts w:ascii="Calibri" w:eastAsia="Calibri" w:hAnsi="Calibri" w:cs="Calibri"/>
          <w:lang w:val="en-GB"/>
        </w:rPr>
        <w:t>In addition, a</w:t>
      </w:r>
      <w:r w:rsidR="005D3D6D" w:rsidRPr="000A3F00">
        <w:rPr>
          <w:rFonts w:ascii="Calibri" w:eastAsia="Calibri" w:hAnsi="Calibri" w:cs="Calibri"/>
          <w:lang w:val="en-GB"/>
        </w:rPr>
        <w:t>ccessing court documents related to asset freezing and seizure is particularly difficult in the UK.</w:t>
      </w:r>
    </w:p>
    <w:p w14:paraId="00F11991" w14:textId="77777777" w:rsidR="00FB46A2" w:rsidRPr="00C163DA" w:rsidRDefault="00B55372">
      <w:pPr>
        <w:spacing w:after="160" w:line="259" w:lineRule="auto"/>
        <w:rPr>
          <w:rFonts w:ascii="Calibri" w:eastAsia="Calibri" w:hAnsi="Calibri" w:cs="Calibri"/>
          <w:i/>
          <w:color w:val="auto"/>
        </w:rPr>
      </w:pPr>
      <w:r w:rsidRPr="00C163DA">
        <w:rPr>
          <w:rFonts w:ascii="Calibri" w:eastAsia="Calibri" w:hAnsi="Calibri" w:cs="Calibri"/>
          <w:b/>
          <w:color w:val="auto"/>
        </w:rPr>
        <w:t>RECOMMENDATIONS</w:t>
      </w:r>
      <w:bookmarkStart w:id="2" w:name="_GoBack"/>
      <w:bookmarkEnd w:id="2"/>
    </w:p>
    <w:p w14:paraId="3C6E6FD2" w14:textId="15A27240" w:rsidR="003309E3" w:rsidRPr="000A3F00" w:rsidRDefault="00861EB5" w:rsidP="00BA5DFC">
      <w:pPr>
        <w:spacing w:after="120" w:line="257" w:lineRule="auto"/>
        <w:rPr>
          <w:rFonts w:ascii="Calibri" w:eastAsia="Calibri" w:hAnsi="Calibri" w:cs="Calibri"/>
          <w:b/>
          <w:i/>
          <w:lang w:val="en-GB"/>
        </w:rPr>
      </w:pPr>
      <w:r w:rsidRPr="000A3F00">
        <w:rPr>
          <w:rFonts w:ascii="Calibri" w:eastAsia="Calibri" w:hAnsi="Calibri" w:cs="Calibri"/>
          <w:b/>
          <w:i/>
          <w:lang w:val="en-GB"/>
        </w:rPr>
        <w:t xml:space="preserve">Recommendation 1: </w:t>
      </w:r>
      <w:r w:rsidR="005131AC">
        <w:rPr>
          <w:rFonts w:ascii="Calibri" w:eastAsia="Calibri" w:hAnsi="Calibri" w:cs="Calibri"/>
          <w:b/>
          <w:i/>
          <w:lang w:val="en-GB"/>
        </w:rPr>
        <w:t>Enable the identification</w:t>
      </w:r>
      <w:r w:rsidRPr="000A3F00">
        <w:rPr>
          <w:rFonts w:ascii="Calibri" w:eastAsia="Calibri" w:hAnsi="Calibri" w:cs="Calibri"/>
          <w:b/>
          <w:i/>
          <w:lang w:val="en-GB"/>
        </w:rPr>
        <w:t xml:space="preserve"> i</w:t>
      </w:r>
      <w:r w:rsidR="003309E3" w:rsidRPr="000A3F00">
        <w:rPr>
          <w:rFonts w:ascii="Calibri" w:eastAsia="Calibri" w:hAnsi="Calibri" w:cs="Calibri"/>
          <w:b/>
          <w:i/>
          <w:lang w:val="en-GB"/>
        </w:rPr>
        <w:t xml:space="preserve">llicit </w:t>
      </w:r>
      <w:r w:rsidRPr="000A3F00">
        <w:rPr>
          <w:rFonts w:ascii="Calibri" w:eastAsia="Calibri" w:hAnsi="Calibri" w:cs="Calibri"/>
          <w:b/>
          <w:i/>
          <w:lang w:val="en-GB"/>
        </w:rPr>
        <w:t>a</w:t>
      </w:r>
      <w:r w:rsidR="003309E3" w:rsidRPr="000A3F00">
        <w:rPr>
          <w:rFonts w:ascii="Calibri" w:eastAsia="Calibri" w:hAnsi="Calibri" w:cs="Calibri"/>
          <w:b/>
          <w:i/>
          <w:lang w:val="en-GB"/>
        </w:rPr>
        <w:t>ssets</w:t>
      </w:r>
    </w:p>
    <w:p w14:paraId="598FA52B" w14:textId="379C5CC9" w:rsidR="003309E3" w:rsidRPr="000A3F00" w:rsidRDefault="003309E3" w:rsidP="00BA5DFC">
      <w:pPr>
        <w:spacing w:after="120" w:line="257" w:lineRule="auto"/>
        <w:rPr>
          <w:rFonts w:ascii="Calibri" w:eastAsia="Calibri" w:hAnsi="Calibri" w:cs="Calibri"/>
          <w:lang w:val="en-GB"/>
        </w:rPr>
      </w:pPr>
      <w:r w:rsidRPr="000A3F00">
        <w:rPr>
          <w:rFonts w:ascii="Calibri" w:eastAsia="Calibri" w:hAnsi="Calibri" w:cs="Calibri"/>
          <w:lang w:val="en-GB"/>
        </w:rPr>
        <w:t>The UK Government should fulfil its commitment to introduce a public register of beneficial ownership for overseas</w:t>
      </w:r>
      <w:r w:rsidR="00FE6782">
        <w:rPr>
          <w:rFonts w:ascii="Calibri" w:eastAsia="Calibri" w:hAnsi="Calibri" w:cs="Calibri"/>
          <w:lang w:val="en-GB"/>
        </w:rPr>
        <w:t xml:space="preserve"> companies that own UK property, and support delivery of public central beneficial ownership registers in its Overseas Territories and Crown Dependencies.</w:t>
      </w:r>
    </w:p>
    <w:p w14:paraId="76C03B42" w14:textId="77777777" w:rsidR="003309E3" w:rsidRPr="000A3F00" w:rsidRDefault="003309E3" w:rsidP="00BA5DFC">
      <w:pPr>
        <w:spacing w:after="120" w:line="257" w:lineRule="auto"/>
        <w:rPr>
          <w:rFonts w:ascii="Calibri" w:eastAsia="Calibri" w:hAnsi="Calibri" w:cs="Calibri"/>
          <w:b/>
          <w:i/>
          <w:lang w:val="en-GB"/>
        </w:rPr>
      </w:pPr>
      <w:r w:rsidRPr="000A3F00">
        <w:rPr>
          <w:rFonts w:ascii="Calibri" w:eastAsia="Calibri" w:hAnsi="Calibri" w:cs="Calibri"/>
          <w:b/>
          <w:i/>
          <w:lang w:val="en-GB"/>
        </w:rPr>
        <w:t>Recommendation 2: Resource the use of enforcement powers</w:t>
      </w:r>
    </w:p>
    <w:p w14:paraId="050A856D" w14:textId="50FB1DC9" w:rsidR="003309E3" w:rsidRDefault="003309E3" w:rsidP="00BA5DFC">
      <w:pPr>
        <w:spacing w:after="120" w:line="257" w:lineRule="auto"/>
        <w:rPr>
          <w:rFonts w:ascii="Calibri" w:eastAsia="Calibri" w:hAnsi="Calibri" w:cs="Calibri"/>
          <w:lang w:val="en-GB"/>
        </w:rPr>
      </w:pPr>
      <w:r w:rsidRPr="000A3F00">
        <w:rPr>
          <w:rFonts w:ascii="Calibri" w:eastAsia="Calibri" w:hAnsi="Calibri" w:cs="Calibri"/>
          <w:lang w:val="en-GB"/>
        </w:rPr>
        <w:t>Ensure that measures set out in the Criminal Finances Act are implemented effectively, with proper coordination and resourcing.</w:t>
      </w:r>
    </w:p>
    <w:p w14:paraId="4CB27E30" w14:textId="6892A5D0" w:rsidR="000A3F00" w:rsidRPr="000A3F00" w:rsidRDefault="000A3F00" w:rsidP="00BA5DFC">
      <w:pPr>
        <w:spacing w:after="120" w:line="257" w:lineRule="auto"/>
        <w:rPr>
          <w:rFonts w:ascii="Calibri" w:eastAsia="Calibri" w:hAnsi="Calibri" w:cs="Calibri"/>
          <w:b/>
          <w:i/>
          <w:lang w:val="en-GB"/>
        </w:rPr>
      </w:pPr>
      <w:r w:rsidRPr="000A3F00">
        <w:rPr>
          <w:rFonts w:ascii="Calibri" w:eastAsia="Calibri" w:hAnsi="Calibri" w:cs="Calibri"/>
          <w:b/>
          <w:i/>
          <w:lang w:val="en-GB"/>
        </w:rPr>
        <w:t xml:space="preserve">Recommendation 3: Speedup reform of </w:t>
      </w:r>
      <w:r w:rsidR="005131AC">
        <w:rPr>
          <w:rFonts w:ascii="Calibri" w:eastAsia="Calibri" w:hAnsi="Calibri" w:cs="Calibri"/>
          <w:b/>
          <w:i/>
          <w:lang w:val="en-GB"/>
        </w:rPr>
        <w:t>private sector oversight</w:t>
      </w:r>
    </w:p>
    <w:p w14:paraId="43E8B49D" w14:textId="69E7BA29" w:rsidR="000A3F00" w:rsidRPr="000A3F00" w:rsidRDefault="00FE6782" w:rsidP="00BA5DFC">
      <w:pPr>
        <w:spacing w:after="120" w:line="257" w:lineRule="auto"/>
        <w:rPr>
          <w:rFonts w:ascii="Calibri" w:eastAsia="Calibri" w:hAnsi="Calibri" w:cs="Calibri"/>
          <w:lang w:val="en-GB"/>
        </w:rPr>
      </w:pPr>
      <w:r>
        <w:rPr>
          <w:rFonts w:ascii="Calibri" w:eastAsia="Calibri" w:hAnsi="Calibri" w:cs="Calibri"/>
          <w:lang w:val="en-GB"/>
        </w:rPr>
        <w:t>Reform of the UK’s AML supervisory system to date has been too slow. This process should be sped-up to help strengthen oversight of the private sector’s role in detecting and reporting suspicious activity.</w:t>
      </w:r>
    </w:p>
    <w:p w14:paraId="7FAD5666" w14:textId="7DC62698" w:rsidR="003309E3" w:rsidRPr="000A3F00" w:rsidRDefault="000A3F00" w:rsidP="00BA5DFC">
      <w:pPr>
        <w:spacing w:after="120" w:line="257" w:lineRule="auto"/>
        <w:rPr>
          <w:rFonts w:ascii="Calibri" w:eastAsia="Calibri" w:hAnsi="Calibri" w:cs="Calibri"/>
          <w:b/>
          <w:i/>
          <w:lang w:val="en-GB"/>
        </w:rPr>
      </w:pPr>
      <w:r>
        <w:rPr>
          <w:rFonts w:ascii="Calibri" w:eastAsia="Calibri" w:hAnsi="Calibri" w:cs="Calibri"/>
          <w:b/>
          <w:i/>
          <w:lang w:val="en-GB"/>
        </w:rPr>
        <w:t>Recommendation 4</w:t>
      </w:r>
      <w:r w:rsidR="003309E3" w:rsidRPr="000A3F00">
        <w:rPr>
          <w:rFonts w:ascii="Calibri" w:eastAsia="Calibri" w:hAnsi="Calibri" w:cs="Calibri"/>
          <w:b/>
          <w:i/>
          <w:lang w:val="en-GB"/>
        </w:rPr>
        <w:t>: Improve transparency and accountability in the asset recovery process</w:t>
      </w:r>
    </w:p>
    <w:p w14:paraId="4AA84B83" w14:textId="3123361B" w:rsidR="00861EB5" w:rsidRPr="000A3F00" w:rsidRDefault="003309E3" w:rsidP="00562D0E">
      <w:pPr>
        <w:spacing w:after="120" w:line="257" w:lineRule="auto"/>
        <w:rPr>
          <w:rFonts w:ascii="Calibri" w:eastAsia="Calibri" w:hAnsi="Calibri" w:cs="Calibri"/>
          <w:lang w:val="en-GB"/>
        </w:rPr>
      </w:pPr>
      <w:r w:rsidRPr="000A3F00">
        <w:rPr>
          <w:rFonts w:ascii="Calibri" w:eastAsia="Calibri" w:hAnsi="Calibri" w:cs="Calibri"/>
          <w:lang w:val="en-GB"/>
        </w:rPr>
        <w:t>There should be the highest standards of transparency in the asset recovery process</w:t>
      </w:r>
      <w:r w:rsidR="00861EB5" w:rsidRPr="000A3F00">
        <w:rPr>
          <w:rFonts w:ascii="Calibri" w:eastAsia="Calibri" w:hAnsi="Calibri" w:cs="Calibri"/>
          <w:lang w:val="en-GB"/>
        </w:rPr>
        <w:t xml:space="preserve"> including:</w:t>
      </w:r>
    </w:p>
    <w:p w14:paraId="434F63C7" w14:textId="047359E5" w:rsidR="00861EB5" w:rsidRPr="000A3F00" w:rsidRDefault="00861EB5" w:rsidP="00861EB5">
      <w:pPr>
        <w:pStyle w:val="ListParagraph"/>
        <w:numPr>
          <w:ilvl w:val="0"/>
          <w:numId w:val="7"/>
        </w:numPr>
        <w:spacing w:after="120" w:line="257" w:lineRule="auto"/>
        <w:rPr>
          <w:rFonts w:ascii="Calibri" w:eastAsia="Calibri" w:hAnsi="Calibri" w:cs="Calibri"/>
          <w:lang w:val="en-GB"/>
        </w:rPr>
      </w:pPr>
      <w:r w:rsidRPr="000A3F00">
        <w:rPr>
          <w:rFonts w:ascii="Calibri" w:eastAsia="Calibri" w:hAnsi="Calibri" w:cs="Calibri"/>
          <w:lang w:val="en-GB"/>
        </w:rPr>
        <w:t>publishing annual</w:t>
      </w:r>
      <w:r w:rsidR="003309E3" w:rsidRPr="000A3F00">
        <w:rPr>
          <w:rFonts w:ascii="Calibri" w:eastAsia="Calibri" w:hAnsi="Calibri" w:cs="Calibri"/>
          <w:lang w:val="en-GB"/>
        </w:rPr>
        <w:t xml:space="preserve"> </w:t>
      </w:r>
      <w:r w:rsidRPr="000A3F00">
        <w:rPr>
          <w:rFonts w:ascii="Calibri" w:eastAsia="Calibri" w:hAnsi="Calibri" w:cs="Calibri"/>
          <w:lang w:val="en-GB"/>
        </w:rPr>
        <w:t xml:space="preserve">updates on </w:t>
      </w:r>
      <w:r w:rsidR="00D972A7">
        <w:rPr>
          <w:rFonts w:ascii="Calibri" w:eastAsia="Calibri" w:hAnsi="Calibri" w:cs="Calibri"/>
          <w:lang w:val="en-GB"/>
        </w:rPr>
        <w:t>corruption related</w:t>
      </w:r>
      <w:r w:rsidRPr="000A3F00">
        <w:rPr>
          <w:rFonts w:ascii="Calibri" w:eastAsia="Calibri" w:hAnsi="Calibri" w:cs="Calibri"/>
          <w:lang w:val="en-GB"/>
        </w:rPr>
        <w:t xml:space="preserve"> asset recovery cases, subject to operational constraints</w:t>
      </w:r>
    </w:p>
    <w:p w14:paraId="21E4DCBA" w14:textId="77777777" w:rsidR="00861EB5" w:rsidRPr="000A3F00" w:rsidRDefault="00861EB5" w:rsidP="00861EB5">
      <w:pPr>
        <w:pStyle w:val="ListParagraph"/>
        <w:numPr>
          <w:ilvl w:val="0"/>
          <w:numId w:val="7"/>
        </w:numPr>
        <w:spacing w:after="120" w:line="257" w:lineRule="auto"/>
        <w:rPr>
          <w:rFonts w:ascii="Calibri" w:eastAsia="Calibri" w:hAnsi="Calibri" w:cs="Calibri"/>
          <w:lang w:val="en-GB"/>
        </w:rPr>
      </w:pPr>
      <w:r w:rsidRPr="000A3F00">
        <w:rPr>
          <w:rFonts w:ascii="Calibri" w:eastAsia="Calibri" w:hAnsi="Calibri" w:cs="Calibri"/>
          <w:lang w:val="en-GB"/>
        </w:rPr>
        <w:t xml:space="preserve">publishing </w:t>
      </w:r>
      <w:r w:rsidR="003309E3" w:rsidRPr="000A3F00">
        <w:rPr>
          <w:rFonts w:ascii="Calibri" w:eastAsia="Calibri" w:hAnsi="Calibri" w:cs="Calibri"/>
          <w:lang w:val="en-GB"/>
        </w:rPr>
        <w:t>key court documents in civil and criminal asset recovery proceedings</w:t>
      </w:r>
    </w:p>
    <w:p w14:paraId="12A1CE62" w14:textId="734F6500" w:rsidR="00EB283B" w:rsidRPr="000A3F00" w:rsidRDefault="00861EB5" w:rsidP="00861EB5">
      <w:pPr>
        <w:pStyle w:val="ListParagraph"/>
        <w:numPr>
          <w:ilvl w:val="0"/>
          <w:numId w:val="7"/>
        </w:numPr>
        <w:spacing w:after="120" w:line="257" w:lineRule="auto"/>
        <w:rPr>
          <w:rFonts w:ascii="Calibri" w:eastAsia="Calibri" w:hAnsi="Calibri" w:cs="Calibri"/>
          <w:lang w:val="en-GB"/>
        </w:rPr>
      </w:pPr>
      <w:r w:rsidRPr="000A3F00">
        <w:rPr>
          <w:rFonts w:ascii="Calibri" w:eastAsia="Calibri" w:hAnsi="Calibri" w:cs="Calibri"/>
          <w:lang w:val="en-GB"/>
        </w:rPr>
        <w:t>keeping authorities in the country of origin</w:t>
      </w:r>
      <w:r w:rsidR="003309E3" w:rsidRPr="000A3F00">
        <w:rPr>
          <w:rFonts w:ascii="Calibri" w:eastAsia="Calibri" w:hAnsi="Calibri" w:cs="Calibri"/>
          <w:lang w:val="en-GB"/>
        </w:rPr>
        <w:t xml:space="preserve"> informed on a regular basis of relevant stages of an investigation and any court proceedings</w:t>
      </w:r>
    </w:p>
    <w:p w14:paraId="47E29C13" w14:textId="2EA87465" w:rsidR="00861EB5" w:rsidRDefault="00861EB5" w:rsidP="00861EB5">
      <w:pPr>
        <w:pStyle w:val="ListParagraph"/>
        <w:numPr>
          <w:ilvl w:val="0"/>
          <w:numId w:val="7"/>
        </w:numPr>
        <w:spacing w:after="120" w:line="257" w:lineRule="auto"/>
        <w:rPr>
          <w:rFonts w:ascii="Calibri" w:eastAsia="Calibri" w:hAnsi="Calibri" w:cs="Calibri"/>
          <w:lang w:val="en-GB"/>
        </w:rPr>
      </w:pPr>
      <w:r w:rsidRPr="000A3F00">
        <w:rPr>
          <w:rFonts w:ascii="Calibri" w:eastAsia="Calibri" w:hAnsi="Calibri" w:cs="Calibri"/>
          <w:lang w:val="en-GB"/>
        </w:rPr>
        <w:t>outlining clear roadmaps for asset return, including opportunities for civil society input, especially in cases where returning funds directly to governments in the jurisdiction of origin would likely result in the money being lost to corruption again</w:t>
      </w:r>
    </w:p>
    <w:p w14:paraId="7EADEC31" w14:textId="77777777" w:rsidR="00063739" w:rsidRPr="00063739" w:rsidRDefault="00063739" w:rsidP="00063739">
      <w:pPr>
        <w:spacing w:after="120" w:line="257" w:lineRule="auto"/>
        <w:rPr>
          <w:rFonts w:ascii="Calibri" w:eastAsia="Calibri" w:hAnsi="Calibri" w:cs="Calibri"/>
          <w:lang w:val="en-GB"/>
        </w:rPr>
      </w:pPr>
    </w:p>
    <w:sectPr w:rsidR="00063739" w:rsidRPr="00063739" w:rsidSect="00901CE9">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993"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050AA" w16cid:durableId="2190C9B8"/>
  <w16cid:commentId w16cid:paraId="6D003EDE" w16cid:durableId="2190C469"/>
  <w16cid:commentId w16cid:paraId="3234D2BF" w16cid:durableId="2190C54A"/>
  <w16cid:commentId w16cid:paraId="12CB8812" w16cid:durableId="2190C5F5"/>
  <w16cid:commentId w16cid:paraId="213550B6" w16cid:durableId="2190CB1E"/>
  <w16cid:commentId w16cid:paraId="7CD14717" w16cid:durableId="2190C825"/>
  <w16cid:commentId w16cid:paraId="10BC30ED" w16cid:durableId="2190CC41"/>
  <w16cid:commentId w16cid:paraId="7C44C87D" w16cid:durableId="2190CCAF"/>
  <w16cid:commentId w16cid:paraId="518D1A25" w16cid:durableId="2190CD1F"/>
  <w16cid:commentId w16cid:paraId="385EC72E" w16cid:durableId="2190CEB3"/>
  <w16cid:commentId w16cid:paraId="2D5905DA" w16cid:durableId="2190CE66"/>
  <w16cid:commentId w16cid:paraId="39B532F7" w16cid:durableId="2190CE2C"/>
  <w16cid:commentId w16cid:paraId="66F41AD0" w16cid:durableId="2190CF20"/>
  <w16cid:commentId w16cid:paraId="6A67C0AE" w16cid:durableId="2190CF49"/>
  <w16cid:commentId w16cid:paraId="271CF684" w16cid:durableId="2190CFAA"/>
  <w16cid:commentId w16cid:paraId="0F651A3C" w16cid:durableId="2190CFDE"/>
  <w16cid:commentId w16cid:paraId="41234078" w16cid:durableId="2190D007"/>
  <w16cid:commentId w16cid:paraId="4773F763" w16cid:durableId="2190D04B"/>
  <w16cid:commentId w16cid:paraId="440DD4B3" w16cid:durableId="2190D148"/>
  <w16cid:commentId w16cid:paraId="12CFB5AA" w16cid:durableId="2190D1A7"/>
  <w16cid:commentId w16cid:paraId="340B6FD9" w16cid:durableId="2190D200"/>
  <w16cid:commentId w16cid:paraId="14CA9C60" w16cid:durableId="2190D2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0B9F" w14:textId="77777777" w:rsidR="00940A4D" w:rsidRDefault="00940A4D">
      <w:pPr>
        <w:spacing w:line="240" w:lineRule="auto"/>
      </w:pPr>
      <w:r>
        <w:separator/>
      </w:r>
    </w:p>
    <w:p w14:paraId="7C188FFA" w14:textId="77777777" w:rsidR="00940A4D" w:rsidRDefault="00940A4D"/>
  </w:endnote>
  <w:endnote w:type="continuationSeparator" w:id="0">
    <w:p w14:paraId="3875C18E" w14:textId="77777777" w:rsidR="00940A4D" w:rsidRDefault="00940A4D">
      <w:pPr>
        <w:spacing w:line="240" w:lineRule="auto"/>
      </w:pPr>
      <w:r>
        <w:continuationSeparator/>
      </w:r>
    </w:p>
    <w:p w14:paraId="188F3D27" w14:textId="77777777" w:rsidR="00940A4D" w:rsidRDefault="00940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68C1" w14:textId="77777777" w:rsidR="00B26263" w:rsidRDefault="00B26263">
    <w:pPr>
      <w:pStyle w:val="Footer"/>
    </w:pPr>
  </w:p>
  <w:p w14:paraId="18F10B7C" w14:textId="77777777" w:rsidR="00035681" w:rsidRDefault="000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12149"/>
      <w:docPartObj>
        <w:docPartGallery w:val="Page Numbers (Bottom of Page)"/>
        <w:docPartUnique/>
      </w:docPartObj>
    </w:sdtPr>
    <w:sdtEndPr>
      <w:rPr>
        <w:noProof/>
      </w:rPr>
    </w:sdtEndPr>
    <w:sdtContent>
      <w:p w14:paraId="3B2BC7BF" w14:textId="18E568C5" w:rsidR="007142B5" w:rsidRDefault="007142B5">
        <w:pPr>
          <w:pStyle w:val="Footer"/>
          <w:jc w:val="center"/>
        </w:pPr>
        <w:r>
          <w:fldChar w:fldCharType="begin"/>
        </w:r>
        <w:r>
          <w:instrText xml:space="preserve"> PAGE   \* MERGEFORMAT </w:instrText>
        </w:r>
        <w:r>
          <w:fldChar w:fldCharType="separate"/>
        </w:r>
        <w:r w:rsidR="00940A4D">
          <w:rPr>
            <w:noProof/>
          </w:rPr>
          <w:t>1</w:t>
        </w:r>
        <w:r>
          <w:rPr>
            <w:noProof/>
          </w:rPr>
          <w:fldChar w:fldCharType="end"/>
        </w:r>
      </w:p>
    </w:sdtContent>
  </w:sdt>
  <w:p w14:paraId="12DD6A61" w14:textId="77777777" w:rsidR="007142B5" w:rsidRDefault="007142B5">
    <w:pPr>
      <w:pStyle w:val="Footer"/>
    </w:pPr>
  </w:p>
  <w:p w14:paraId="6E7B7190" w14:textId="77777777" w:rsidR="00035681" w:rsidRDefault="000356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A6FB" w14:textId="77777777" w:rsidR="00B26263" w:rsidRDefault="00B2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773C" w14:textId="77777777" w:rsidR="00940A4D" w:rsidRDefault="00940A4D">
      <w:pPr>
        <w:spacing w:line="240" w:lineRule="auto"/>
      </w:pPr>
      <w:r>
        <w:separator/>
      </w:r>
    </w:p>
    <w:p w14:paraId="21D53481" w14:textId="77777777" w:rsidR="00940A4D" w:rsidRDefault="00940A4D"/>
  </w:footnote>
  <w:footnote w:type="continuationSeparator" w:id="0">
    <w:p w14:paraId="7FD27C6E" w14:textId="77777777" w:rsidR="00940A4D" w:rsidRDefault="00940A4D">
      <w:pPr>
        <w:spacing w:line="240" w:lineRule="auto"/>
      </w:pPr>
      <w:r>
        <w:continuationSeparator/>
      </w:r>
    </w:p>
    <w:p w14:paraId="48FC8C6F" w14:textId="77777777" w:rsidR="00940A4D" w:rsidRDefault="00940A4D"/>
  </w:footnote>
  <w:footnote w:id="1">
    <w:p w14:paraId="6A2C0DE1" w14:textId="6B056FFB" w:rsidR="003E55BE" w:rsidRPr="00063739" w:rsidRDefault="003E55BE">
      <w:pPr>
        <w:pStyle w:val="FootnoteText"/>
        <w:rPr>
          <w:rFonts w:asciiTheme="minorHAnsi" w:hAnsiTheme="minorHAnsi" w:cstheme="minorHAnsi"/>
          <w:color w:val="auto"/>
          <w:sz w:val="16"/>
          <w:szCs w:val="16"/>
          <w:lang w:val="en-GB"/>
        </w:rPr>
      </w:pPr>
      <w:r w:rsidRPr="00063739">
        <w:rPr>
          <w:rStyle w:val="FootnoteReference"/>
          <w:rFonts w:cstheme="minorHAnsi"/>
          <w:color w:val="auto"/>
          <w:szCs w:val="16"/>
        </w:rPr>
        <w:footnoteRef/>
      </w:r>
      <w:r w:rsidRPr="00063739">
        <w:rPr>
          <w:rFonts w:asciiTheme="minorHAnsi" w:hAnsiTheme="minorHAnsi" w:cstheme="minorHAnsi"/>
          <w:color w:val="auto"/>
          <w:sz w:val="16"/>
          <w:szCs w:val="16"/>
        </w:rPr>
        <w:t xml:space="preserve"> </w:t>
      </w:r>
      <w:r w:rsidRPr="00063739">
        <w:rPr>
          <w:rFonts w:asciiTheme="minorHAnsi" w:hAnsiTheme="minorHAnsi" w:cstheme="minorHAnsi"/>
          <w:color w:val="auto"/>
          <w:sz w:val="16"/>
          <w:szCs w:val="16"/>
          <w:lang w:val="en-GB"/>
        </w:rPr>
        <w:t xml:space="preserve">Accountable Asset Return (December 2017): </w:t>
      </w:r>
      <w:hyperlink r:id="rId1" w:history="1">
        <w:r w:rsidRPr="00063739">
          <w:rPr>
            <w:rStyle w:val="Hyperlink"/>
            <w:rFonts w:asciiTheme="minorHAnsi" w:hAnsiTheme="minorHAnsi" w:cstheme="minorHAnsi"/>
            <w:color w:val="auto"/>
            <w:sz w:val="16"/>
            <w:szCs w:val="16"/>
          </w:rPr>
          <w:t>https://www.transparency.org.uk/publications/accountable-asset-return-uk-country-level-civil-society-report-by-corruption-watch-and-transparency-international-uk/</w:t>
        </w:r>
      </w:hyperlink>
    </w:p>
  </w:footnote>
  <w:footnote w:id="2">
    <w:p w14:paraId="42847878" w14:textId="0F306FE0" w:rsidR="00AF399F" w:rsidRPr="00AF399F" w:rsidRDefault="00AF399F">
      <w:pPr>
        <w:pStyle w:val="FootnoteText"/>
        <w:rPr>
          <w:lang w:val="en-GB"/>
        </w:rPr>
      </w:pPr>
      <w:r>
        <w:rPr>
          <w:rStyle w:val="FootnoteReference"/>
        </w:rPr>
        <w:footnoteRef/>
      </w:r>
      <w:r>
        <w:t xml:space="preserve"> </w:t>
      </w:r>
      <w:r>
        <w:rPr>
          <w:rStyle w:val="Hyperlink"/>
          <w:rFonts w:asciiTheme="minorHAnsi" w:hAnsiTheme="minorHAnsi" w:cstheme="minorHAnsi"/>
          <w:color w:val="auto"/>
          <w:sz w:val="16"/>
          <w:szCs w:val="16"/>
        </w:rPr>
        <w:t xml:space="preserve">These powers </w:t>
      </w:r>
      <w:r w:rsidRPr="00AF399F">
        <w:rPr>
          <w:rStyle w:val="Hyperlink"/>
          <w:rFonts w:asciiTheme="minorHAnsi" w:hAnsiTheme="minorHAnsi" w:cstheme="minorHAnsi"/>
          <w:color w:val="auto"/>
          <w:sz w:val="16"/>
          <w:szCs w:val="16"/>
        </w:rPr>
        <w:t>commenced in January 2018</w:t>
      </w:r>
      <w:r>
        <w:rPr>
          <w:rStyle w:val="Hyperlink"/>
          <w:rFonts w:asciiTheme="minorHAnsi" w:hAnsiTheme="minorHAnsi" w:cstheme="minorHAnsi"/>
          <w:color w:val="auto"/>
          <w:sz w:val="16"/>
          <w:szCs w:val="16"/>
        </w:rPr>
        <w:t>.</w:t>
      </w:r>
    </w:p>
  </w:footnote>
  <w:footnote w:id="3">
    <w:p w14:paraId="017816A7" w14:textId="49F3003C" w:rsidR="00546DA8" w:rsidRPr="00063739" w:rsidRDefault="00546DA8" w:rsidP="00546DA8">
      <w:pPr>
        <w:spacing w:before="40" w:line="240" w:lineRule="auto"/>
        <w:rPr>
          <w:rFonts w:asciiTheme="minorHAnsi" w:hAnsiTheme="minorHAnsi" w:cstheme="minorHAnsi"/>
          <w:color w:val="auto"/>
          <w:sz w:val="16"/>
          <w:szCs w:val="16"/>
          <w:lang w:val="en-GB"/>
        </w:rPr>
      </w:pPr>
      <w:r w:rsidRPr="00063739">
        <w:rPr>
          <w:rFonts w:asciiTheme="minorHAnsi" w:hAnsiTheme="minorHAnsi" w:cstheme="minorHAnsi"/>
          <w:color w:val="auto"/>
          <w:sz w:val="16"/>
          <w:szCs w:val="16"/>
          <w:vertAlign w:val="superscript"/>
          <w:lang w:val="en-GB"/>
        </w:rPr>
        <w:footnoteRef/>
      </w:r>
      <w:r w:rsidRPr="00063739">
        <w:rPr>
          <w:rFonts w:asciiTheme="minorHAnsi" w:hAnsiTheme="minorHAnsi" w:cstheme="minorHAnsi"/>
          <w:color w:val="auto"/>
          <w:sz w:val="16"/>
          <w:szCs w:val="16"/>
          <w:vertAlign w:val="superscript"/>
          <w:lang w:val="en-GB"/>
        </w:rPr>
        <w:t xml:space="preserve"> </w:t>
      </w:r>
      <w:hyperlink r:id="rId2" w:history="1">
        <w:r w:rsidRPr="00063739">
          <w:rPr>
            <w:rFonts w:asciiTheme="minorHAnsi" w:hAnsiTheme="minorHAnsi" w:cstheme="minorHAnsi"/>
            <w:color w:val="auto"/>
            <w:sz w:val="16"/>
            <w:szCs w:val="16"/>
            <w:lang w:val="en-GB"/>
          </w:rPr>
          <w:t>https://www.nationalcrimeagency.gov.uk/what-we-do/crime-threats/bribery-corruption-and-sanctions-evasion/international-anti-corruption-centre</w:t>
        </w:r>
      </w:hyperlink>
    </w:p>
  </w:footnote>
  <w:footnote w:id="4">
    <w:p w14:paraId="61687AAC" w14:textId="77777777" w:rsidR="00C848E0" w:rsidRPr="003F3AC7" w:rsidRDefault="00C848E0" w:rsidP="00C848E0">
      <w:pPr>
        <w:spacing w:before="40" w:line="240" w:lineRule="auto"/>
        <w:rPr>
          <w:sz w:val="16"/>
          <w:szCs w:val="16"/>
          <w:vertAlign w:val="superscript"/>
          <w:lang w:val="en-GB"/>
        </w:rPr>
      </w:pPr>
      <w:r w:rsidRPr="00063739">
        <w:rPr>
          <w:rFonts w:asciiTheme="minorHAnsi" w:hAnsiTheme="minorHAnsi" w:cstheme="minorHAnsi"/>
          <w:color w:val="auto"/>
          <w:sz w:val="16"/>
          <w:szCs w:val="16"/>
          <w:vertAlign w:val="superscript"/>
          <w:lang w:val="en-GB"/>
        </w:rPr>
        <w:footnoteRef/>
      </w:r>
      <w:r w:rsidRPr="00063739">
        <w:rPr>
          <w:rFonts w:asciiTheme="minorHAnsi" w:hAnsiTheme="minorHAnsi" w:cstheme="minorHAnsi"/>
          <w:color w:val="auto"/>
          <w:sz w:val="16"/>
          <w:szCs w:val="16"/>
          <w:lang w:val="en-GB"/>
        </w:rPr>
        <w:t xml:space="preserve"> Account Freezing Orders (AFO) empower law enforcement agencies to apply for bank accounts to be frozen via court order if they have reasonable grounds to suspect the accounts contain the proceeds of crime or funds intended for criminal conduct.</w:t>
      </w:r>
    </w:p>
  </w:footnote>
  <w:footnote w:id="5">
    <w:p w14:paraId="06E0106C" w14:textId="1C7AAED7" w:rsidR="00824C74" w:rsidRPr="003F3AC7" w:rsidRDefault="00824C74">
      <w:pPr>
        <w:pStyle w:val="FootnoteText"/>
        <w:rPr>
          <w:sz w:val="16"/>
          <w:szCs w:val="16"/>
          <w:lang w:val="en-GB"/>
        </w:rPr>
      </w:pPr>
      <w:r w:rsidRPr="003F3AC7">
        <w:rPr>
          <w:rStyle w:val="FootnoteReference"/>
          <w:szCs w:val="16"/>
          <w:lang w:val="en-GB"/>
        </w:rPr>
        <w:footnoteRef/>
      </w:r>
      <w:r w:rsidRPr="003F3AC7">
        <w:rPr>
          <w:sz w:val="16"/>
          <w:szCs w:val="16"/>
          <w:lang w:val="en-GB"/>
        </w:rPr>
        <w:t xml:space="preserve"> Home Office, </w:t>
      </w:r>
      <w:r w:rsidRPr="003F3AC7">
        <w:rPr>
          <w:i/>
          <w:sz w:val="16"/>
          <w:szCs w:val="16"/>
          <w:lang w:val="en-GB"/>
        </w:rPr>
        <w:t>Asset recovery action plan</w:t>
      </w:r>
      <w:r w:rsidRPr="003F3AC7">
        <w:rPr>
          <w:sz w:val="16"/>
          <w:szCs w:val="16"/>
          <w:lang w:val="en-GB"/>
        </w:rPr>
        <w:t xml:space="preserve"> (July 2019) p.5 </w:t>
      </w:r>
      <w:hyperlink r:id="rId3" w:history="1">
        <w:r w:rsidRPr="003F3AC7">
          <w:rPr>
            <w:rStyle w:val="Hyperlink"/>
            <w:sz w:val="16"/>
            <w:szCs w:val="16"/>
            <w:lang w:val="en-GB"/>
          </w:rPr>
          <w:t>https://assets.publishing.service.gov.uk/government/uploads/system/uploads/attachment_data/file/815900/20190709_Asset_Recovery_Action_Plan_FINAL_Clean.pdf</w:t>
        </w:r>
      </w:hyperlink>
      <w:r w:rsidRPr="003F3AC7">
        <w:rPr>
          <w:sz w:val="16"/>
          <w:szCs w:val="16"/>
          <w:lang w:val="en-GB"/>
        </w:rPr>
        <w:t xml:space="preserve"> </w:t>
      </w:r>
    </w:p>
  </w:footnote>
  <w:footnote w:id="6">
    <w:p w14:paraId="3F89D807" w14:textId="632E7DA7" w:rsidR="00E63020" w:rsidRPr="0074163A" w:rsidRDefault="00E63020">
      <w:pPr>
        <w:pStyle w:val="FootnoteText"/>
        <w:rPr>
          <w:sz w:val="16"/>
          <w:szCs w:val="16"/>
          <w:lang w:val="it-IT"/>
        </w:rPr>
      </w:pPr>
      <w:r w:rsidRPr="001C109A">
        <w:rPr>
          <w:rStyle w:val="FootnoteReference"/>
          <w:szCs w:val="16"/>
          <w:lang w:val="en-GB"/>
        </w:rPr>
        <w:footnoteRef/>
      </w:r>
      <w:r w:rsidRPr="0074163A">
        <w:rPr>
          <w:sz w:val="16"/>
          <w:szCs w:val="16"/>
          <w:lang w:val="it-IT"/>
        </w:rPr>
        <w:t xml:space="preserve"> [2018] EWCA 2291 (Crim) </w:t>
      </w:r>
      <w:hyperlink r:id="rId4" w:history="1">
        <w:r w:rsidRPr="0074163A">
          <w:rPr>
            <w:rStyle w:val="Hyperlink"/>
            <w:sz w:val="16"/>
            <w:szCs w:val="16"/>
            <w:lang w:val="it-IT"/>
          </w:rPr>
          <w:t>https://www.matrixlaw.co.uk/wp-content/uploads/2018/10/R-v-Ibori-Ors-2018-EWCA-2291-Crim-.pdf</w:t>
        </w:r>
      </w:hyperlink>
      <w:r w:rsidRPr="0074163A">
        <w:rPr>
          <w:sz w:val="16"/>
          <w:szCs w:val="16"/>
          <w:lang w:val="it-IT"/>
        </w:rPr>
        <w:t xml:space="preserve"> </w:t>
      </w:r>
    </w:p>
  </w:footnote>
  <w:footnote w:id="7">
    <w:p w14:paraId="33A265B7" w14:textId="2FD37986" w:rsidR="00E63020" w:rsidRPr="001C109A" w:rsidRDefault="00E63020">
      <w:pPr>
        <w:pStyle w:val="FootnoteText"/>
        <w:rPr>
          <w:sz w:val="16"/>
          <w:szCs w:val="16"/>
          <w:lang w:val="en-GB"/>
        </w:rPr>
      </w:pPr>
      <w:r w:rsidRPr="001C109A">
        <w:rPr>
          <w:rStyle w:val="FootnoteReference"/>
          <w:szCs w:val="16"/>
          <w:lang w:val="en-GB"/>
        </w:rPr>
        <w:footnoteRef/>
      </w:r>
      <w:r w:rsidRPr="001C109A">
        <w:rPr>
          <w:sz w:val="16"/>
          <w:szCs w:val="16"/>
          <w:lang w:val="en-GB"/>
        </w:rPr>
        <w:t xml:space="preserve"> </w:t>
      </w:r>
      <w:hyperlink r:id="rId5" w:history="1">
        <w:r w:rsidRPr="001C109A">
          <w:rPr>
            <w:rStyle w:val="Hyperlink"/>
            <w:sz w:val="16"/>
            <w:szCs w:val="16"/>
            <w:lang w:val="en-GB"/>
          </w:rPr>
          <w:t>https://nationalcrimeagency.gov.uk/news/ex-goldman-sachs-investment-banker-ordered-to-pay-back-7-3-million</w:t>
        </w:r>
      </w:hyperlink>
      <w:r w:rsidRPr="001C109A">
        <w:rPr>
          <w:sz w:val="16"/>
          <w:szCs w:val="16"/>
          <w:lang w:val="en-GB"/>
        </w:rPr>
        <w:t xml:space="preserve"> [Accessed 12 September 2019]</w:t>
      </w:r>
    </w:p>
  </w:footnote>
  <w:footnote w:id="8">
    <w:p w14:paraId="1C6D21D8" w14:textId="2E67AA4B" w:rsidR="000A3F00" w:rsidRPr="000A3F00" w:rsidRDefault="000A3F00">
      <w:pPr>
        <w:pStyle w:val="FootnoteText"/>
        <w:rPr>
          <w:lang w:val="en-GB"/>
        </w:rPr>
      </w:pPr>
      <w:r>
        <w:rPr>
          <w:rStyle w:val="FootnoteReference"/>
        </w:rPr>
        <w:footnoteRef/>
      </w:r>
      <w:r>
        <w:t xml:space="preserve"> </w:t>
      </w:r>
      <w:r w:rsidRPr="003F3AC7">
        <w:rPr>
          <w:sz w:val="16"/>
          <w:szCs w:val="16"/>
          <w:lang w:val="en-GB"/>
        </w:rPr>
        <w:t>Home Office</w:t>
      </w:r>
      <w:r>
        <w:rPr>
          <w:sz w:val="16"/>
          <w:szCs w:val="16"/>
          <w:lang w:val="en-GB"/>
        </w:rPr>
        <w:t xml:space="preserve"> and UK Finance</w:t>
      </w:r>
      <w:r w:rsidRPr="003F3AC7">
        <w:rPr>
          <w:sz w:val="16"/>
          <w:szCs w:val="16"/>
          <w:lang w:val="en-GB"/>
        </w:rPr>
        <w:t xml:space="preserve">, </w:t>
      </w:r>
      <w:r w:rsidRPr="003F3AC7">
        <w:rPr>
          <w:i/>
          <w:sz w:val="16"/>
          <w:szCs w:val="16"/>
          <w:lang w:val="en-GB"/>
        </w:rPr>
        <w:t>Economic crime plan</w:t>
      </w:r>
      <w:r>
        <w:rPr>
          <w:sz w:val="16"/>
          <w:szCs w:val="16"/>
          <w:lang w:val="en-GB"/>
        </w:rPr>
        <w:t xml:space="preserve"> (July 2019) p.63</w:t>
      </w:r>
      <w:r w:rsidRPr="003F3AC7">
        <w:rPr>
          <w:sz w:val="16"/>
          <w:szCs w:val="16"/>
          <w:lang w:val="en-GB"/>
        </w:rPr>
        <w:t xml:space="preserve"> </w:t>
      </w:r>
      <w:hyperlink r:id="rId6" w:history="1">
        <w:r w:rsidRPr="003F3AC7">
          <w:rPr>
            <w:rStyle w:val="Hyperlink"/>
            <w:sz w:val="16"/>
            <w:szCs w:val="16"/>
            <w:lang w:val="en-GB"/>
          </w:rPr>
          <w:t>https://assets.publishing.service.gov.uk/government/uploads/system/uploads/attachment_data/file/816215/2019-22_Economic_Crime_Plan.pdf</w:t>
        </w:r>
      </w:hyperlink>
    </w:p>
  </w:footnote>
  <w:footnote w:id="9">
    <w:p w14:paraId="6D44478F" w14:textId="366ECBF2" w:rsidR="0032139C" w:rsidRPr="003F3AC7" w:rsidRDefault="0032139C">
      <w:pPr>
        <w:pStyle w:val="FootnoteText"/>
        <w:rPr>
          <w:sz w:val="16"/>
          <w:szCs w:val="16"/>
          <w:lang w:val="en-GB"/>
        </w:rPr>
      </w:pPr>
      <w:r w:rsidRPr="003F3AC7">
        <w:rPr>
          <w:rStyle w:val="FootnoteReference"/>
          <w:szCs w:val="16"/>
          <w:lang w:val="en-GB"/>
        </w:rPr>
        <w:footnoteRef/>
      </w:r>
      <w:r w:rsidRPr="003F3AC7">
        <w:rPr>
          <w:sz w:val="16"/>
          <w:szCs w:val="16"/>
          <w:lang w:val="en-GB"/>
        </w:rPr>
        <w:t xml:space="preserve"> </w:t>
      </w:r>
      <w:r w:rsidR="000A3F00" w:rsidRPr="003F3AC7">
        <w:rPr>
          <w:sz w:val="16"/>
          <w:szCs w:val="16"/>
          <w:lang w:val="en-GB"/>
        </w:rPr>
        <w:t>Home Office</w:t>
      </w:r>
      <w:r w:rsidR="000A3F00">
        <w:rPr>
          <w:sz w:val="16"/>
          <w:szCs w:val="16"/>
          <w:lang w:val="en-GB"/>
        </w:rPr>
        <w:t xml:space="preserve"> and UK Finance</w:t>
      </w:r>
      <w:r w:rsidR="000A3F00" w:rsidRPr="003F3AC7">
        <w:rPr>
          <w:sz w:val="16"/>
          <w:szCs w:val="16"/>
          <w:lang w:val="en-GB"/>
        </w:rPr>
        <w:t xml:space="preserve">, </w:t>
      </w:r>
      <w:r w:rsidR="000A3F00" w:rsidRPr="000A3F00">
        <w:rPr>
          <w:i/>
          <w:sz w:val="16"/>
          <w:szCs w:val="16"/>
          <w:lang w:val="en-GB"/>
        </w:rPr>
        <w:t xml:space="preserve">Economic crime plan </w:t>
      </w:r>
      <w:r w:rsidRPr="003F3AC7">
        <w:rPr>
          <w:sz w:val="16"/>
          <w:szCs w:val="16"/>
          <w:lang w:val="en-GB"/>
        </w:rPr>
        <w:t>p.63</w:t>
      </w:r>
    </w:p>
  </w:footnote>
  <w:footnote w:id="10">
    <w:p w14:paraId="5B47B4A4" w14:textId="32B3DD16" w:rsidR="000A3F00" w:rsidRPr="003D5EFA" w:rsidRDefault="000A3F00" w:rsidP="000A3F00">
      <w:pPr>
        <w:pStyle w:val="FootnoteText"/>
        <w:rPr>
          <w:sz w:val="16"/>
          <w:szCs w:val="16"/>
          <w:lang w:val="en-GB"/>
        </w:rPr>
      </w:pPr>
      <w:r w:rsidRPr="001C109A">
        <w:rPr>
          <w:rStyle w:val="FootnoteReference"/>
          <w:szCs w:val="16"/>
        </w:rPr>
        <w:footnoteRef/>
      </w:r>
      <w:r w:rsidRPr="001C109A">
        <w:rPr>
          <w:sz w:val="16"/>
          <w:szCs w:val="16"/>
        </w:rPr>
        <w:t xml:space="preserve"> </w:t>
      </w:r>
      <w:r>
        <w:rPr>
          <w:sz w:val="16"/>
          <w:szCs w:val="16"/>
        </w:rPr>
        <w:t xml:space="preserve">Home Office, </w:t>
      </w:r>
      <w:r w:rsidRPr="000A3F00">
        <w:rPr>
          <w:i/>
          <w:sz w:val="16"/>
          <w:szCs w:val="16"/>
          <w:lang w:val="en-GB"/>
        </w:rPr>
        <w:t>Asset recovery action plan</w:t>
      </w:r>
      <w:r w:rsidRPr="001C109A">
        <w:rPr>
          <w:sz w:val="16"/>
          <w:szCs w:val="16"/>
          <w:lang w:val="en-GB"/>
        </w:rPr>
        <w:t xml:space="preserve"> p.19</w:t>
      </w:r>
    </w:p>
  </w:footnote>
  <w:footnote w:id="11">
    <w:p w14:paraId="7ECF78A8" w14:textId="3980F6C9" w:rsidR="003D5EFA" w:rsidRPr="003D5EFA" w:rsidRDefault="003D5EFA">
      <w:pPr>
        <w:pStyle w:val="FootnoteText"/>
        <w:rPr>
          <w:lang w:val="en-GB"/>
        </w:rPr>
      </w:pPr>
      <w:r w:rsidRPr="003D5EFA">
        <w:rPr>
          <w:rStyle w:val="FootnoteReference"/>
          <w:szCs w:val="16"/>
        </w:rPr>
        <w:footnoteRef/>
      </w:r>
      <w:r w:rsidRPr="003D5EFA">
        <w:rPr>
          <w:sz w:val="16"/>
          <w:szCs w:val="16"/>
        </w:rPr>
        <w:t xml:space="preserve"> </w:t>
      </w:r>
      <w:hyperlink r:id="rId7" w:history="1">
        <w:r w:rsidRPr="003D5EFA">
          <w:rPr>
            <w:rStyle w:val="Hyperlink"/>
            <w:sz w:val="16"/>
            <w:szCs w:val="16"/>
          </w:rPr>
          <w:t>https://www.fca.org.uk/opbas</w:t>
        </w:r>
      </w:hyperlink>
      <w:r w:rsidRPr="003D5EFA">
        <w:rPr>
          <w:sz w:val="16"/>
          <w:szCs w:val="16"/>
        </w:rPr>
        <w:t xml:space="preserve"> [Accessed 12 September 2019]</w:t>
      </w:r>
    </w:p>
  </w:footnote>
  <w:footnote w:id="12">
    <w:p w14:paraId="585E210A" w14:textId="25ADAF01" w:rsidR="000A3F00" w:rsidRPr="003F3AC7" w:rsidRDefault="000A3F00" w:rsidP="000A3F00">
      <w:pPr>
        <w:pStyle w:val="FootnoteText"/>
        <w:rPr>
          <w:sz w:val="16"/>
          <w:szCs w:val="16"/>
          <w:lang w:val="en-GB"/>
        </w:rPr>
      </w:pPr>
      <w:r w:rsidRPr="003F3AC7">
        <w:rPr>
          <w:rStyle w:val="FootnoteReference"/>
          <w:szCs w:val="16"/>
          <w:lang w:val="en-GB"/>
        </w:rPr>
        <w:footnoteRef/>
      </w:r>
      <w:r w:rsidRPr="003F3AC7">
        <w:rPr>
          <w:sz w:val="16"/>
          <w:szCs w:val="16"/>
          <w:lang w:val="en-GB"/>
        </w:rPr>
        <w:t xml:space="preserve"> Home Office</w:t>
      </w:r>
      <w:r>
        <w:rPr>
          <w:sz w:val="16"/>
          <w:szCs w:val="16"/>
          <w:lang w:val="en-GB"/>
        </w:rPr>
        <w:t xml:space="preserve"> and UK Finance</w:t>
      </w:r>
      <w:r w:rsidRPr="003F3AC7">
        <w:rPr>
          <w:sz w:val="16"/>
          <w:szCs w:val="16"/>
          <w:lang w:val="en-GB"/>
        </w:rPr>
        <w:t xml:space="preserve">, </w:t>
      </w:r>
      <w:r w:rsidRPr="003F3AC7">
        <w:rPr>
          <w:i/>
          <w:sz w:val="16"/>
          <w:szCs w:val="16"/>
          <w:lang w:val="en-GB"/>
        </w:rPr>
        <w:t>Economic crime plan</w:t>
      </w:r>
      <w:r w:rsidRPr="003F3AC7">
        <w:rPr>
          <w:sz w:val="16"/>
          <w:szCs w:val="16"/>
          <w:lang w:val="en-GB"/>
        </w:rPr>
        <w:t xml:space="preserve"> p.20 </w:t>
      </w:r>
    </w:p>
  </w:footnote>
  <w:footnote w:id="13">
    <w:p w14:paraId="5D21041D" w14:textId="2B586313" w:rsidR="003F3AC7" w:rsidRPr="003F3AC7" w:rsidRDefault="003F3AC7">
      <w:pPr>
        <w:pStyle w:val="FootnoteText"/>
        <w:rPr>
          <w:lang w:val="en-GB"/>
        </w:rPr>
      </w:pPr>
      <w:r w:rsidRPr="003F3AC7">
        <w:rPr>
          <w:rStyle w:val="FootnoteReference"/>
          <w:szCs w:val="16"/>
          <w:lang w:val="en-GB"/>
        </w:rPr>
        <w:footnoteRef/>
      </w:r>
      <w:r w:rsidRPr="003F3AC7">
        <w:rPr>
          <w:sz w:val="16"/>
          <w:szCs w:val="16"/>
          <w:lang w:val="en-GB"/>
        </w:rPr>
        <w:t xml:space="preserve"> </w:t>
      </w:r>
      <w:r w:rsidR="000A3F00" w:rsidRPr="003F3AC7">
        <w:rPr>
          <w:sz w:val="16"/>
          <w:szCs w:val="16"/>
          <w:lang w:val="en-GB"/>
        </w:rPr>
        <w:t>Home Office</w:t>
      </w:r>
      <w:r w:rsidR="000A3F00">
        <w:rPr>
          <w:sz w:val="16"/>
          <w:szCs w:val="16"/>
          <w:lang w:val="en-GB"/>
        </w:rPr>
        <w:t xml:space="preserve"> and UK Finance</w:t>
      </w:r>
      <w:r w:rsidR="000A3F00" w:rsidRPr="003F3AC7">
        <w:rPr>
          <w:sz w:val="16"/>
          <w:szCs w:val="16"/>
          <w:lang w:val="en-GB"/>
        </w:rPr>
        <w:t xml:space="preserve">, </w:t>
      </w:r>
      <w:r w:rsidRPr="003F3AC7">
        <w:rPr>
          <w:sz w:val="16"/>
          <w:szCs w:val="16"/>
          <w:lang w:val="en-GB"/>
        </w:rPr>
        <w:t>Economic crime plan p.9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0BD3" w14:textId="77777777" w:rsidR="00B26263" w:rsidRDefault="00B26263">
    <w:pPr>
      <w:pStyle w:val="Header"/>
    </w:pPr>
  </w:p>
  <w:p w14:paraId="7AA299C5" w14:textId="77777777" w:rsidR="00035681" w:rsidRDefault="000356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526C" w14:textId="7843AF28" w:rsidR="00FB46A2" w:rsidRDefault="00B26263">
    <w:r>
      <w:rPr>
        <w:noProof/>
        <w:lang w:val="en-GB"/>
      </w:rPr>
      <w:drawing>
        <wp:anchor distT="0" distB="0" distL="114300" distR="114300" simplePos="0" relativeHeight="251660288" behindDoc="1" locked="0" layoutInCell="1" allowOverlap="1" wp14:anchorId="2A72F0CF" wp14:editId="60DB0210">
          <wp:simplePos x="0" y="0"/>
          <wp:positionH relativeFrom="column">
            <wp:posOffset>4000500</wp:posOffset>
          </wp:positionH>
          <wp:positionV relativeFrom="paragraph">
            <wp:posOffset>-2540</wp:posOffset>
          </wp:positionV>
          <wp:extent cx="785295" cy="561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_Logo_RGB_72_Master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295" cy="561712"/>
                  </a:xfrm>
                  <a:prstGeom prst="rect">
                    <a:avLst/>
                  </a:prstGeom>
                </pic:spPr>
              </pic:pic>
            </a:graphicData>
          </a:graphic>
          <wp14:sizeRelH relativeFrom="margin">
            <wp14:pctWidth>0</wp14:pctWidth>
          </wp14:sizeRelH>
          <wp14:sizeRelV relativeFrom="margin">
            <wp14:pctHeight>0</wp14:pctHeight>
          </wp14:sizeRelV>
        </wp:anchor>
      </w:drawing>
    </w:r>
    <w:r w:rsidR="00B71D0F">
      <w:rPr>
        <w:noProof/>
        <w:lang w:val="en-GB"/>
      </w:rPr>
      <w:drawing>
        <wp:anchor distT="0" distB="0" distL="114300" distR="114300" simplePos="0" relativeHeight="251659264" behindDoc="1" locked="0" layoutInCell="1" allowOverlap="1" wp14:anchorId="5CF19D3C" wp14:editId="6988C437">
          <wp:simplePos x="0" y="0"/>
          <wp:positionH relativeFrom="column">
            <wp:posOffset>4905375</wp:posOffset>
          </wp:positionH>
          <wp:positionV relativeFrom="paragraph">
            <wp:posOffset>161925</wp:posOffset>
          </wp:positionV>
          <wp:extent cx="1361440" cy="3054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UK-logo-blue-strap_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1440" cy="305435"/>
                  </a:xfrm>
                  <a:prstGeom prst="rect">
                    <a:avLst/>
                  </a:prstGeom>
                </pic:spPr>
              </pic:pic>
            </a:graphicData>
          </a:graphic>
          <wp14:sizeRelH relativeFrom="page">
            <wp14:pctWidth>0</wp14:pctWidth>
          </wp14:sizeRelH>
          <wp14:sizeRelV relativeFrom="page">
            <wp14:pctHeight>0</wp14:pctHeight>
          </wp14:sizeRelV>
        </wp:anchor>
      </w:drawing>
    </w:r>
    <w:r w:rsidR="00B55372">
      <w:tab/>
    </w:r>
    <w:r w:rsidR="00B55372">
      <w:tab/>
    </w:r>
    <w:r w:rsidR="00B55372">
      <w:tab/>
    </w:r>
    <w:r w:rsidR="00B55372">
      <w:tab/>
    </w:r>
    <w:r w:rsidR="00B55372">
      <w:tab/>
    </w:r>
    <w:r w:rsidR="00B55372">
      <w:tab/>
    </w:r>
    <w:r w:rsidR="00B55372">
      <w:tab/>
    </w:r>
    <w:r w:rsidR="00B55372">
      <w:tab/>
    </w:r>
    <w:r w:rsidR="00B55372">
      <w:tab/>
    </w:r>
    <w:r w:rsidR="00B55372">
      <w:tab/>
    </w:r>
    <w:r w:rsidR="00B55372">
      <w:rPr>
        <w:noProof/>
        <w:lang w:val="en-GB"/>
      </w:rPr>
      <mc:AlternateContent>
        <mc:Choice Requires="wps">
          <w:drawing>
            <wp:anchor distT="45720" distB="45720" distL="114300" distR="114300" simplePos="0" relativeHeight="251658240" behindDoc="1" locked="0" layoutInCell="1" hidden="0" allowOverlap="1" wp14:anchorId="3252E892" wp14:editId="31B0FDEF">
              <wp:simplePos x="0" y="0"/>
              <wp:positionH relativeFrom="margin">
                <wp:posOffset>-581024</wp:posOffset>
              </wp:positionH>
              <wp:positionV relativeFrom="paragraph">
                <wp:posOffset>600075</wp:posOffset>
              </wp:positionV>
              <wp:extent cx="6667500" cy="564897"/>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012250" y="3289475"/>
                        <a:ext cx="7402500" cy="509400"/>
                      </a:xfrm>
                      <a:prstGeom prst="rect">
                        <a:avLst/>
                      </a:prstGeom>
                      <a:solidFill>
                        <a:srgbClr val="FFFFFF"/>
                      </a:solidFill>
                      <a:ln>
                        <a:noFill/>
                      </a:ln>
                    </wps:spPr>
                    <wps:txbx>
                      <w:txbxContent>
                        <w:p w14:paraId="205A00AC" w14:textId="77777777" w:rsidR="00FB46A2" w:rsidRDefault="00E7341A">
                          <w:pPr>
                            <w:spacing w:after="160" w:line="258" w:lineRule="auto"/>
                            <w:textDirection w:val="btLr"/>
                          </w:pPr>
                          <w:r>
                            <w:rPr>
                              <w:rFonts w:ascii="Calibri" w:eastAsia="Calibri" w:hAnsi="Calibri" w:cs="Calibri"/>
                              <w:color w:val="808080"/>
                              <w:sz w:val="56"/>
                            </w:rPr>
                            <w:t>ASSET RECOVERY OVERVIEW: UK</w:t>
                          </w:r>
                        </w:p>
                      </w:txbxContent>
                    </wps:txbx>
                    <wps:bodyPr wrap="square" lIns="91425" tIns="45700" rIns="91425" bIns="45700" anchor="t" anchorCtr="0"/>
                  </wps:wsp>
                </a:graphicData>
              </a:graphic>
            </wp:anchor>
          </w:drawing>
        </mc:Choice>
        <mc:Fallback>
          <w:pict>
            <v:rect w14:anchorId="3252E892" id="Rectangle 3" o:spid="_x0000_s1028" style="position:absolute;margin-left:-45.75pt;margin-top:47.25pt;width:525pt;height:44.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" stroked="f">
              <v:textbox inset="2.53958mm,1.2694mm,2.53958mm,1.2694mm">
                <w:txbxContent>
                  <w:p w14:paraId="205A00AC" w14:textId="77777777" w:rsidR="00FB46A2" w:rsidRDefault="00E7341A">
                    <w:pPr>
                      <w:spacing w:after="160" w:line="258" w:lineRule="auto"/>
                      <w:textDirection w:val="btLr"/>
                    </w:pPr>
                    <w:r>
                      <w:rPr>
                        <w:rFonts w:ascii="Calibri" w:eastAsia="Calibri" w:hAnsi="Calibri" w:cs="Calibri"/>
                        <w:color w:val="808080"/>
                        <w:sz w:val="56"/>
                      </w:rPr>
                      <w:t>ASSET RECOVERY OVERVIEW: UK</w:t>
                    </w:r>
                  </w:p>
                </w:txbxContent>
              </v:textbox>
              <w10:wrap type="square" anchorx="margin"/>
            </v:rect>
          </w:pict>
        </mc:Fallback>
      </mc:AlternateContent>
    </w:r>
  </w:p>
  <w:p w14:paraId="011BCCB5" w14:textId="6803E3B6" w:rsidR="00FB46A2" w:rsidRDefault="00B55372">
    <w:r>
      <w:tab/>
    </w:r>
    <w:r>
      <w:tab/>
    </w:r>
    <w:r>
      <w:tab/>
    </w:r>
    <w:r>
      <w:tab/>
    </w:r>
    <w:r>
      <w:tab/>
    </w:r>
    <w:r>
      <w:tab/>
    </w:r>
    <w:r>
      <w:tab/>
    </w:r>
    <w:r>
      <w:tab/>
    </w:r>
  </w:p>
  <w:p w14:paraId="0A3FB761" w14:textId="77777777" w:rsidR="00035681" w:rsidRDefault="000356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89CC" w14:textId="77777777" w:rsidR="00B26263" w:rsidRDefault="00B2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789"/>
    <w:multiLevelType w:val="multilevel"/>
    <w:tmpl w:val="36B89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D7E46"/>
    <w:multiLevelType w:val="multilevel"/>
    <w:tmpl w:val="E3E6A90E"/>
    <w:lvl w:ilvl="0">
      <w:start w:val="1"/>
      <w:numFmt w:val="bullet"/>
      <w:lvlText w:val=""/>
      <w:lvlJc w:val="left"/>
      <w:pPr>
        <w:ind w:left="-1782" w:hanging="360"/>
      </w:pPr>
      <w:rPr>
        <w:rFonts w:ascii="Symbol" w:hAnsi="Symbol" w:hint="default"/>
        <w:u w:val="none"/>
      </w:rPr>
    </w:lvl>
    <w:lvl w:ilvl="1">
      <w:start w:val="1"/>
      <w:numFmt w:val="bullet"/>
      <w:lvlText w:val="○"/>
      <w:lvlJc w:val="left"/>
      <w:pPr>
        <w:ind w:left="-1062" w:hanging="360"/>
      </w:pPr>
      <w:rPr>
        <w:u w:val="none"/>
      </w:rPr>
    </w:lvl>
    <w:lvl w:ilvl="2">
      <w:start w:val="1"/>
      <w:numFmt w:val="bullet"/>
      <w:lvlText w:val="■"/>
      <w:lvlJc w:val="left"/>
      <w:pPr>
        <w:ind w:left="-342" w:hanging="360"/>
      </w:pPr>
      <w:rPr>
        <w:u w:val="none"/>
      </w:rPr>
    </w:lvl>
    <w:lvl w:ilvl="3">
      <w:start w:val="1"/>
      <w:numFmt w:val="bullet"/>
      <w:lvlText w:val="●"/>
      <w:lvlJc w:val="left"/>
      <w:pPr>
        <w:ind w:left="378" w:hanging="360"/>
      </w:pPr>
      <w:rPr>
        <w:u w:val="none"/>
      </w:rPr>
    </w:lvl>
    <w:lvl w:ilvl="4">
      <w:start w:val="1"/>
      <w:numFmt w:val="bullet"/>
      <w:lvlText w:val="○"/>
      <w:lvlJc w:val="left"/>
      <w:pPr>
        <w:ind w:left="1098" w:hanging="360"/>
      </w:pPr>
      <w:rPr>
        <w:u w:val="none"/>
      </w:rPr>
    </w:lvl>
    <w:lvl w:ilvl="5">
      <w:start w:val="1"/>
      <w:numFmt w:val="bullet"/>
      <w:lvlText w:val="■"/>
      <w:lvlJc w:val="left"/>
      <w:pPr>
        <w:ind w:left="1818" w:hanging="360"/>
      </w:pPr>
      <w:rPr>
        <w:u w:val="none"/>
      </w:rPr>
    </w:lvl>
    <w:lvl w:ilvl="6">
      <w:start w:val="1"/>
      <w:numFmt w:val="bullet"/>
      <w:lvlText w:val="●"/>
      <w:lvlJc w:val="left"/>
      <w:pPr>
        <w:ind w:left="2538" w:hanging="360"/>
      </w:pPr>
      <w:rPr>
        <w:u w:val="none"/>
      </w:rPr>
    </w:lvl>
    <w:lvl w:ilvl="7">
      <w:start w:val="1"/>
      <w:numFmt w:val="bullet"/>
      <w:lvlText w:val="○"/>
      <w:lvlJc w:val="left"/>
      <w:pPr>
        <w:ind w:left="3258" w:hanging="360"/>
      </w:pPr>
      <w:rPr>
        <w:u w:val="none"/>
      </w:rPr>
    </w:lvl>
    <w:lvl w:ilvl="8">
      <w:start w:val="1"/>
      <w:numFmt w:val="bullet"/>
      <w:lvlText w:val="■"/>
      <w:lvlJc w:val="left"/>
      <w:pPr>
        <w:ind w:left="3978" w:hanging="360"/>
      </w:pPr>
      <w:rPr>
        <w:u w:val="none"/>
      </w:rPr>
    </w:lvl>
  </w:abstractNum>
  <w:abstractNum w:abstractNumId="2" w15:restartNumberingAfterBreak="0">
    <w:nsid w:val="37CC4439"/>
    <w:multiLevelType w:val="hybridMultilevel"/>
    <w:tmpl w:val="EE8CFC9C"/>
    <w:lvl w:ilvl="0" w:tplc="7DBE5022">
      <w:start w:val="1"/>
      <w:numFmt w:val="bullet"/>
      <w:lvlText w:val=""/>
      <w:lvlJc w:val="left"/>
      <w:pPr>
        <w:ind w:left="578" w:hanging="360"/>
      </w:pPr>
      <w:rPr>
        <w:rFonts w:ascii="Symbol" w:hAnsi="Symbol" w:hint="default"/>
        <w:color w:val="AEAAAA" w:themeColor="background2" w:themeShade="BF"/>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54551A57"/>
    <w:multiLevelType w:val="hybridMultilevel"/>
    <w:tmpl w:val="4B10FEB0"/>
    <w:lvl w:ilvl="0" w:tplc="7DBE5022">
      <w:start w:val="1"/>
      <w:numFmt w:val="bullet"/>
      <w:lvlText w:val=""/>
      <w:lvlJc w:val="left"/>
      <w:pPr>
        <w:ind w:left="360" w:hanging="360"/>
      </w:pPr>
      <w:rPr>
        <w:rFonts w:ascii="Symbol" w:hAnsi="Symbol" w:hint="default"/>
        <w:color w:val="AEAAAA" w:themeColor="background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D43FA0"/>
    <w:multiLevelType w:val="hybridMultilevel"/>
    <w:tmpl w:val="22BAC144"/>
    <w:lvl w:ilvl="0" w:tplc="7DBE5022">
      <w:start w:val="1"/>
      <w:numFmt w:val="bullet"/>
      <w:lvlText w:val=""/>
      <w:lvlJc w:val="left"/>
      <w:pPr>
        <w:ind w:left="360" w:hanging="360"/>
      </w:pPr>
      <w:rPr>
        <w:rFonts w:ascii="Symbol" w:hAnsi="Symbol" w:hint="default"/>
        <w:color w:val="AEAAAA" w:themeColor="background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825067"/>
    <w:multiLevelType w:val="hybridMultilevel"/>
    <w:tmpl w:val="9A0A0FBE"/>
    <w:lvl w:ilvl="0" w:tplc="B5447F30">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B00726"/>
    <w:multiLevelType w:val="hybridMultilevel"/>
    <w:tmpl w:val="D264F79C"/>
    <w:lvl w:ilvl="0" w:tplc="7DBE5022">
      <w:start w:val="1"/>
      <w:numFmt w:val="bullet"/>
      <w:lvlText w:val=""/>
      <w:lvlJc w:val="left"/>
      <w:pPr>
        <w:ind w:left="360" w:hanging="360"/>
      </w:pPr>
      <w:rPr>
        <w:rFonts w:ascii="Symbol" w:hAnsi="Symbol" w:hint="default"/>
        <w:color w:val="AEAAAA" w:themeColor="background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A2"/>
    <w:rsid w:val="00035681"/>
    <w:rsid w:val="000429F0"/>
    <w:rsid w:val="00063739"/>
    <w:rsid w:val="000A3F00"/>
    <w:rsid w:val="000D4C64"/>
    <w:rsid w:val="0011764D"/>
    <w:rsid w:val="00154738"/>
    <w:rsid w:val="00187AF1"/>
    <w:rsid w:val="001B2469"/>
    <w:rsid w:val="001C109A"/>
    <w:rsid w:val="001E1210"/>
    <w:rsid w:val="0032139C"/>
    <w:rsid w:val="003309E3"/>
    <w:rsid w:val="00330E5B"/>
    <w:rsid w:val="00345908"/>
    <w:rsid w:val="00374592"/>
    <w:rsid w:val="00383921"/>
    <w:rsid w:val="00385C42"/>
    <w:rsid w:val="003A3627"/>
    <w:rsid w:val="003C73C8"/>
    <w:rsid w:val="003D5EFA"/>
    <w:rsid w:val="003E55BE"/>
    <w:rsid w:val="003F3AC7"/>
    <w:rsid w:val="0040245F"/>
    <w:rsid w:val="00466212"/>
    <w:rsid w:val="00493DB1"/>
    <w:rsid w:val="004A56ED"/>
    <w:rsid w:val="004B48C5"/>
    <w:rsid w:val="004D13EE"/>
    <w:rsid w:val="004D38ED"/>
    <w:rsid w:val="005131AC"/>
    <w:rsid w:val="00527280"/>
    <w:rsid w:val="00546DA8"/>
    <w:rsid w:val="00562D0E"/>
    <w:rsid w:val="0057659F"/>
    <w:rsid w:val="005C4219"/>
    <w:rsid w:val="005C587B"/>
    <w:rsid w:val="005D3D6D"/>
    <w:rsid w:val="006141D4"/>
    <w:rsid w:val="00626497"/>
    <w:rsid w:val="00650358"/>
    <w:rsid w:val="00656225"/>
    <w:rsid w:val="006838C4"/>
    <w:rsid w:val="00690FFA"/>
    <w:rsid w:val="00692B3F"/>
    <w:rsid w:val="006D4F71"/>
    <w:rsid w:val="006F2635"/>
    <w:rsid w:val="007142B5"/>
    <w:rsid w:val="0074163A"/>
    <w:rsid w:val="00787D70"/>
    <w:rsid w:val="007B52BC"/>
    <w:rsid w:val="008046A3"/>
    <w:rsid w:val="00824C74"/>
    <w:rsid w:val="00861EB5"/>
    <w:rsid w:val="00886105"/>
    <w:rsid w:val="008A76AA"/>
    <w:rsid w:val="008F715E"/>
    <w:rsid w:val="009013D3"/>
    <w:rsid w:val="00901CE9"/>
    <w:rsid w:val="009056C8"/>
    <w:rsid w:val="00940A4D"/>
    <w:rsid w:val="009D786D"/>
    <w:rsid w:val="00A02176"/>
    <w:rsid w:val="00A4691B"/>
    <w:rsid w:val="00AD0AE6"/>
    <w:rsid w:val="00AF399F"/>
    <w:rsid w:val="00AF7F38"/>
    <w:rsid w:val="00B26263"/>
    <w:rsid w:val="00B55372"/>
    <w:rsid w:val="00B71D0F"/>
    <w:rsid w:val="00B745D1"/>
    <w:rsid w:val="00BA5DFC"/>
    <w:rsid w:val="00BD1428"/>
    <w:rsid w:val="00C163DA"/>
    <w:rsid w:val="00C41D81"/>
    <w:rsid w:val="00C50340"/>
    <w:rsid w:val="00C848E0"/>
    <w:rsid w:val="00CC7FF9"/>
    <w:rsid w:val="00CF5DA9"/>
    <w:rsid w:val="00D27415"/>
    <w:rsid w:val="00D424D4"/>
    <w:rsid w:val="00D92825"/>
    <w:rsid w:val="00D972A7"/>
    <w:rsid w:val="00DF53B5"/>
    <w:rsid w:val="00E0088D"/>
    <w:rsid w:val="00E63020"/>
    <w:rsid w:val="00E7341A"/>
    <w:rsid w:val="00E95E98"/>
    <w:rsid w:val="00EB283B"/>
    <w:rsid w:val="00ED4565"/>
    <w:rsid w:val="00EE7693"/>
    <w:rsid w:val="00F92854"/>
    <w:rsid w:val="00FB082D"/>
    <w:rsid w:val="00FB46A2"/>
    <w:rsid w:val="00FC1B62"/>
    <w:rsid w:val="00FE6169"/>
    <w:rsid w:val="00FE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3DB1"/>
  <w15:docId w15:val="{1012B090-7399-4844-823F-CD3DD34C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7341A"/>
    <w:pPr>
      <w:tabs>
        <w:tab w:val="center" w:pos="4513"/>
        <w:tab w:val="right" w:pos="9026"/>
      </w:tabs>
      <w:spacing w:line="240" w:lineRule="auto"/>
    </w:pPr>
  </w:style>
  <w:style w:type="character" w:customStyle="1" w:styleId="HeaderChar">
    <w:name w:val="Header Char"/>
    <w:basedOn w:val="DefaultParagraphFont"/>
    <w:link w:val="Header"/>
    <w:uiPriority w:val="99"/>
    <w:rsid w:val="00E7341A"/>
  </w:style>
  <w:style w:type="paragraph" w:styleId="Footer">
    <w:name w:val="footer"/>
    <w:basedOn w:val="Normal"/>
    <w:link w:val="FooterChar"/>
    <w:uiPriority w:val="99"/>
    <w:unhideWhenUsed/>
    <w:rsid w:val="00E7341A"/>
    <w:pPr>
      <w:tabs>
        <w:tab w:val="center" w:pos="4513"/>
        <w:tab w:val="right" w:pos="9026"/>
      </w:tabs>
      <w:spacing w:line="240" w:lineRule="auto"/>
    </w:pPr>
  </w:style>
  <w:style w:type="character" w:customStyle="1" w:styleId="FooterChar">
    <w:name w:val="Footer Char"/>
    <w:basedOn w:val="DefaultParagraphFont"/>
    <w:link w:val="Footer"/>
    <w:uiPriority w:val="99"/>
    <w:rsid w:val="00E7341A"/>
  </w:style>
  <w:style w:type="paragraph" w:styleId="ListParagraph">
    <w:name w:val="List Paragraph"/>
    <w:basedOn w:val="Normal"/>
    <w:uiPriority w:val="34"/>
    <w:qFormat/>
    <w:rsid w:val="00ED4565"/>
    <w:pPr>
      <w:ind w:left="720"/>
      <w:contextualSpacing/>
    </w:pPr>
  </w:style>
  <w:style w:type="paragraph" w:styleId="FootnoteText">
    <w:name w:val="footnote text"/>
    <w:basedOn w:val="Normal"/>
    <w:link w:val="FootnoteTextChar"/>
    <w:uiPriority w:val="99"/>
    <w:semiHidden/>
    <w:unhideWhenUsed/>
    <w:rsid w:val="00EB283B"/>
    <w:pPr>
      <w:spacing w:line="240" w:lineRule="auto"/>
    </w:pPr>
    <w:rPr>
      <w:sz w:val="20"/>
      <w:szCs w:val="20"/>
    </w:rPr>
  </w:style>
  <w:style w:type="character" w:customStyle="1" w:styleId="FootnoteTextChar">
    <w:name w:val="Footnote Text Char"/>
    <w:basedOn w:val="DefaultParagraphFont"/>
    <w:link w:val="FootnoteText"/>
    <w:uiPriority w:val="99"/>
    <w:semiHidden/>
    <w:rsid w:val="00EB283B"/>
    <w:rPr>
      <w:sz w:val="20"/>
      <w:szCs w:val="20"/>
    </w:rPr>
  </w:style>
  <w:style w:type="character" w:styleId="Hyperlink">
    <w:name w:val="Hyperlink"/>
    <w:basedOn w:val="DefaultParagraphFont"/>
    <w:uiPriority w:val="99"/>
    <w:unhideWhenUsed/>
    <w:rsid w:val="00EB283B"/>
    <w:rPr>
      <w:color w:val="44546A" w:themeColor="text2"/>
      <w:u w:val="none"/>
    </w:rPr>
  </w:style>
  <w:style w:type="character" w:styleId="FootnoteReference">
    <w:name w:val="footnote reference"/>
    <w:basedOn w:val="DefaultParagraphFont"/>
    <w:uiPriority w:val="99"/>
    <w:rsid w:val="00EB283B"/>
    <w:rPr>
      <w:rFonts w:asciiTheme="minorHAnsi" w:hAnsiTheme="minorHAnsi"/>
      <w:color w:val="000000" w:themeColor="text1"/>
      <w:spacing w:val="0"/>
      <w:position w:val="0"/>
      <w:sz w:val="16"/>
      <w:vertAlign w:val="superscript"/>
    </w:rPr>
  </w:style>
  <w:style w:type="paragraph" w:styleId="NoSpacing">
    <w:name w:val="No Spacing"/>
    <w:uiPriority w:val="1"/>
    <w:qFormat/>
    <w:rsid w:val="004A56ED"/>
    <w:pPr>
      <w:spacing w:after="120" w:line="240" w:lineRule="auto"/>
    </w:pPr>
  </w:style>
  <w:style w:type="paragraph" w:styleId="BalloonText">
    <w:name w:val="Balloon Text"/>
    <w:basedOn w:val="Normal"/>
    <w:link w:val="BalloonTextChar"/>
    <w:uiPriority w:val="99"/>
    <w:semiHidden/>
    <w:unhideWhenUsed/>
    <w:rsid w:val="00D92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25"/>
    <w:rPr>
      <w:rFonts w:ascii="Segoe UI" w:hAnsi="Segoe UI" w:cs="Segoe UI"/>
      <w:sz w:val="18"/>
      <w:szCs w:val="18"/>
    </w:rPr>
  </w:style>
  <w:style w:type="character" w:styleId="CommentReference">
    <w:name w:val="annotation reference"/>
    <w:basedOn w:val="DefaultParagraphFont"/>
    <w:uiPriority w:val="99"/>
    <w:semiHidden/>
    <w:unhideWhenUsed/>
    <w:rsid w:val="008F715E"/>
    <w:rPr>
      <w:sz w:val="16"/>
      <w:szCs w:val="16"/>
    </w:rPr>
  </w:style>
  <w:style w:type="paragraph" w:styleId="CommentText">
    <w:name w:val="annotation text"/>
    <w:basedOn w:val="Normal"/>
    <w:link w:val="CommentTextChar"/>
    <w:uiPriority w:val="99"/>
    <w:semiHidden/>
    <w:unhideWhenUsed/>
    <w:rsid w:val="008F715E"/>
    <w:pPr>
      <w:spacing w:line="240" w:lineRule="auto"/>
    </w:pPr>
    <w:rPr>
      <w:sz w:val="20"/>
      <w:szCs w:val="20"/>
    </w:rPr>
  </w:style>
  <w:style w:type="character" w:customStyle="1" w:styleId="CommentTextChar">
    <w:name w:val="Comment Text Char"/>
    <w:basedOn w:val="DefaultParagraphFont"/>
    <w:link w:val="CommentText"/>
    <w:uiPriority w:val="99"/>
    <w:semiHidden/>
    <w:rsid w:val="008F715E"/>
    <w:rPr>
      <w:sz w:val="20"/>
      <w:szCs w:val="20"/>
    </w:rPr>
  </w:style>
  <w:style w:type="paragraph" w:styleId="CommentSubject">
    <w:name w:val="annotation subject"/>
    <w:basedOn w:val="CommentText"/>
    <w:next w:val="CommentText"/>
    <w:link w:val="CommentSubjectChar"/>
    <w:uiPriority w:val="99"/>
    <w:semiHidden/>
    <w:unhideWhenUsed/>
    <w:rsid w:val="008F715E"/>
    <w:rPr>
      <w:b/>
      <w:bCs/>
    </w:rPr>
  </w:style>
  <w:style w:type="character" w:customStyle="1" w:styleId="CommentSubjectChar">
    <w:name w:val="Comment Subject Char"/>
    <w:basedOn w:val="CommentTextChar"/>
    <w:link w:val="CommentSubject"/>
    <w:uiPriority w:val="99"/>
    <w:semiHidden/>
    <w:rsid w:val="008F715E"/>
    <w:rPr>
      <w:b/>
      <w:bCs/>
      <w:sz w:val="20"/>
      <w:szCs w:val="20"/>
    </w:rPr>
  </w:style>
  <w:style w:type="paragraph" w:styleId="Revision">
    <w:name w:val="Revision"/>
    <w:hidden/>
    <w:uiPriority w:val="99"/>
    <w:semiHidden/>
    <w:rsid w:val="00BA5DFC"/>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FollowedHyperlink">
    <w:name w:val="FollowedHyperlink"/>
    <w:basedOn w:val="DefaultParagraphFont"/>
    <w:uiPriority w:val="99"/>
    <w:semiHidden/>
    <w:unhideWhenUsed/>
    <w:rsid w:val="000A3F00"/>
    <w:rPr>
      <w:color w:val="954F72" w:themeColor="followedHyperlink"/>
      <w:u w:val="single"/>
    </w:rPr>
  </w:style>
  <w:style w:type="paragraph" w:customStyle="1" w:styleId="paragraph">
    <w:name w:val="paragraph"/>
    <w:basedOn w:val="Normal"/>
    <w:rsid w:val="008861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88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ites/default/files/criminal-fraud/legacy/2014/04/03/df_indictment_final_stamped_6-20-13.pdf"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gov/sites/default/files/criminal-fraud/legacy/2014/04/03/df_indictment_final_stamped_6-20-13.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15900/20190709_Asset_Recovery_Action_Plan_FINAL_Clean.pdf" TargetMode="External"/><Relationship Id="rId7" Type="http://schemas.openxmlformats.org/officeDocument/2006/relationships/hyperlink" Target="https://www.fca.org.uk/opbas" TargetMode="External"/><Relationship Id="rId2" Type="http://schemas.openxmlformats.org/officeDocument/2006/relationships/hyperlink" Target="https://www.nationalcrimeagency.gov.uk/what-we-do/crime-threats/bribery-corruption-and-sanctions-evasion/international-anti-corruption-centre" TargetMode="External"/><Relationship Id="rId1" Type="http://schemas.openxmlformats.org/officeDocument/2006/relationships/hyperlink" Target="https://www.transparency.org.uk/publications/accountable-asset-return-uk-country-level-civil-society-report-by-corruption-watch-and-transparency-international-uk/" TargetMode="External"/><Relationship Id="rId6" Type="http://schemas.openxmlformats.org/officeDocument/2006/relationships/hyperlink" Target="https://assets.publishing.service.gov.uk/government/uploads/system/uploads/attachment_data/file/816215/2019-22_Economic_Crime_Plan.pdf" TargetMode="External"/><Relationship Id="rId5" Type="http://schemas.openxmlformats.org/officeDocument/2006/relationships/hyperlink" Target="https://nationalcrimeagency.gov.uk/news/ex-goldman-sachs-investment-banker-ordered-to-pay-back-7-3-million" TargetMode="External"/><Relationship Id="rId4" Type="http://schemas.openxmlformats.org/officeDocument/2006/relationships/hyperlink" Target="https://www.matrixlaw.co.uk/wp-content/uploads/2018/10/R-v-Ibori-Ors-2018-EWCA-2291-Crim-.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8362-557D-465F-8094-A43B3536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Davies</dc:creator>
  <cp:lastModifiedBy>Gillian Dell</cp:lastModifiedBy>
  <cp:revision>7</cp:revision>
  <dcterms:created xsi:type="dcterms:W3CDTF">2019-12-04T17:25:00Z</dcterms:created>
  <dcterms:modified xsi:type="dcterms:W3CDTF">2020-01-10T18:26:00Z</dcterms:modified>
</cp:coreProperties>
</file>